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E3B02" w14:textId="6DE22284" w:rsidR="00BF4D81" w:rsidRPr="008A345C" w:rsidRDefault="00BF4D81" w:rsidP="008A345C">
      <w:pPr>
        <w:jc w:val="center"/>
        <w:rPr>
          <w:b/>
          <w:bCs/>
          <w:sz w:val="32"/>
          <w:szCs w:val="32"/>
          <w:lang w:val="en-US"/>
        </w:rPr>
      </w:pPr>
      <w:r w:rsidRPr="008A345C">
        <w:rPr>
          <w:b/>
          <w:bCs/>
          <w:sz w:val="32"/>
          <w:szCs w:val="32"/>
          <w:lang w:val="en-US"/>
        </w:rPr>
        <w:t>FRAMEWORK AGREEMENT</w:t>
      </w:r>
      <w:r w:rsidR="008A345C" w:rsidRPr="008A345C">
        <w:rPr>
          <w:b/>
          <w:bCs/>
          <w:sz w:val="32"/>
          <w:szCs w:val="32"/>
          <w:lang w:val="en-US"/>
        </w:rPr>
        <w:t xml:space="preserve"> </w:t>
      </w:r>
      <w:r w:rsidR="008A345C">
        <w:rPr>
          <w:b/>
          <w:bCs/>
          <w:sz w:val="32"/>
          <w:szCs w:val="32"/>
          <w:lang w:val="en-US"/>
        </w:rPr>
        <w:br/>
      </w:r>
      <w:r w:rsidR="008A345C" w:rsidRPr="008A345C">
        <w:rPr>
          <w:b/>
          <w:bCs/>
          <w:sz w:val="32"/>
          <w:szCs w:val="32"/>
          <w:lang w:val="en-US"/>
        </w:rPr>
        <w:t xml:space="preserve">FFB- </w:t>
      </w:r>
      <w:r w:rsidR="008A345C" w:rsidRPr="008A345C">
        <w:rPr>
          <w:b/>
          <w:bCs/>
          <w:sz w:val="32"/>
          <w:szCs w:val="32"/>
          <w:lang w:val="en-US"/>
        </w:rPr>
        <w:t>M</w:t>
      </w:r>
      <w:r w:rsidR="008A345C" w:rsidRPr="008A345C">
        <w:rPr>
          <w:b/>
          <w:bCs/>
          <w:sz w:val="32"/>
          <w:szCs w:val="32"/>
          <w:lang w:val="en-US"/>
        </w:rPr>
        <w:t>INISTRY OF NATIONAL EDUCATION</w:t>
      </w:r>
    </w:p>
    <w:p w14:paraId="680DAFD6" w14:textId="77777777" w:rsidR="008A345C" w:rsidRDefault="008A345C" w:rsidP="00BF4D81">
      <w:pPr>
        <w:rPr>
          <w:i/>
          <w:iCs/>
          <w:lang w:val="en-US"/>
        </w:rPr>
      </w:pPr>
    </w:p>
    <w:p w14:paraId="39EAA467" w14:textId="17530C5B" w:rsidR="00BF4D81" w:rsidRPr="008A345C" w:rsidRDefault="00BF4D81" w:rsidP="00BF4D81">
      <w:pPr>
        <w:rPr>
          <w:b/>
          <w:bCs/>
          <w:lang w:val="en-US"/>
        </w:rPr>
      </w:pPr>
      <w:r w:rsidRPr="008A345C">
        <w:rPr>
          <w:b/>
          <w:bCs/>
          <w:i/>
          <w:iCs/>
          <w:lang w:val="en-US"/>
        </w:rPr>
        <w:t xml:space="preserve">This document is a translation of the original French version. Its sole purpose is to serve as a source of inspiration for National Bridge </w:t>
      </w:r>
      <w:proofErr w:type="spellStart"/>
      <w:r w:rsidRPr="008A345C">
        <w:rPr>
          <w:b/>
          <w:bCs/>
          <w:i/>
          <w:iCs/>
          <w:lang w:val="en-US"/>
        </w:rPr>
        <w:t>Organisations</w:t>
      </w:r>
      <w:proofErr w:type="spellEnd"/>
      <w:r w:rsidRPr="008A345C">
        <w:rPr>
          <w:b/>
          <w:bCs/>
          <w:i/>
          <w:iCs/>
          <w:lang w:val="en-US"/>
        </w:rPr>
        <w:t xml:space="preserve"> (NBOs) wishing to establish a similar agreement with the institutions and authorities in their own countries.</w:t>
      </w:r>
    </w:p>
    <w:p w14:paraId="04B4FB61" w14:textId="77777777" w:rsidR="008A345C" w:rsidRDefault="008A345C" w:rsidP="00BF4D81">
      <w:pPr>
        <w:rPr>
          <w:lang w:val="en-US"/>
        </w:rPr>
      </w:pPr>
    </w:p>
    <w:p w14:paraId="79B1D3BD" w14:textId="701F8818" w:rsidR="00BF4D81" w:rsidRPr="00BF4D81" w:rsidRDefault="00BF4D81" w:rsidP="00BF4D81">
      <w:pPr>
        <w:rPr>
          <w:lang w:val="en-US"/>
        </w:rPr>
      </w:pPr>
      <w:r w:rsidRPr="00BF4D81">
        <w:rPr>
          <w:lang w:val="en-US"/>
        </w:rPr>
        <w:t>Between the undersigned:</w:t>
      </w:r>
    </w:p>
    <w:p w14:paraId="3614EF13" w14:textId="77777777" w:rsidR="00BF4D81" w:rsidRPr="00BF4D81" w:rsidRDefault="00BF4D81" w:rsidP="00BF4D81">
      <w:pPr>
        <w:rPr>
          <w:lang w:val="en-US"/>
        </w:rPr>
      </w:pPr>
      <w:r w:rsidRPr="00BF4D81">
        <w:rPr>
          <w:b/>
          <w:bCs/>
          <w:lang w:val="en-US"/>
        </w:rPr>
        <w:t>The Ministry of National Education, Youth and Sports</w:t>
      </w:r>
      <w:r w:rsidRPr="00BF4D81">
        <w:rPr>
          <w:lang w:val="en-US"/>
        </w:rPr>
        <w:t>,</w:t>
      </w:r>
      <w:r w:rsidRPr="00BF4D81">
        <w:rPr>
          <w:lang w:val="en-US"/>
        </w:rPr>
        <w:br/>
        <w:t>110 rue de Grenelle, 75357 Paris 07 SP, France,</w:t>
      </w:r>
    </w:p>
    <w:p w14:paraId="5C2477A7" w14:textId="77777777" w:rsidR="00BF4D81" w:rsidRPr="00BF4D81" w:rsidRDefault="00BF4D81" w:rsidP="00BF4D81">
      <w:pPr>
        <w:rPr>
          <w:lang w:val="en-US"/>
        </w:rPr>
      </w:pPr>
      <w:r w:rsidRPr="00BF4D81">
        <w:rPr>
          <w:lang w:val="en-US"/>
        </w:rPr>
        <w:t>hereinafter referred to as “MENJS”,</w:t>
      </w:r>
    </w:p>
    <w:p w14:paraId="7E0F3401" w14:textId="77777777" w:rsidR="00BF4D81" w:rsidRPr="00BF4D81" w:rsidRDefault="00BF4D81" w:rsidP="00BF4D81">
      <w:pPr>
        <w:rPr>
          <w:lang w:val="en-US"/>
        </w:rPr>
      </w:pPr>
      <w:r w:rsidRPr="00BF4D81">
        <w:rPr>
          <w:lang w:val="en-US"/>
        </w:rPr>
        <w:t xml:space="preserve">represented by the Minister of National Education, Youth and Sports, </w:t>
      </w:r>
      <w:proofErr w:type="spellStart"/>
      <w:r w:rsidRPr="00BF4D81">
        <w:rPr>
          <w:lang w:val="en-US"/>
        </w:rPr>
        <w:t>Mr</w:t>
      </w:r>
      <w:proofErr w:type="spellEnd"/>
      <w:r w:rsidRPr="00BF4D81">
        <w:rPr>
          <w:lang w:val="en-US"/>
        </w:rPr>
        <w:t xml:space="preserve"> Jean-Michel BLANQUER,</w:t>
      </w:r>
    </w:p>
    <w:p w14:paraId="284B119C" w14:textId="77777777" w:rsidR="00BF4D81" w:rsidRPr="00BF4D81" w:rsidRDefault="00BF4D81" w:rsidP="00BF4D81">
      <w:pPr>
        <w:rPr>
          <w:lang w:val="en-US"/>
        </w:rPr>
      </w:pPr>
      <w:r w:rsidRPr="00BF4D81">
        <w:rPr>
          <w:lang w:val="en-US"/>
        </w:rPr>
        <w:t>and</w:t>
      </w:r>
    </w:p>
    <w:p w14:paraId="62EF6244" w14:textId="77777777" w:rsidR="00BF4D81" w:rsidRPr="00BF4D81" w:rsidRDefault="00BF4D81" w:rsidP="00BF4D81">
      <w:pPr>
        <w:rPr>
          <w:lang w:val="en-US"/>
        </w:rPr>
      </w:pPr>
      <w:r w:rsidRPr="00BF4D81">
        <w:rPr>
          <w:b/>
          <w:bCs/>
          <w:lang w:val="en-US"/>
        </w:rPr>
        <w:t>The French Bridge Federation (FFB)</w:t>
      </w:r>
      <w:r w:rsidRPr="00BF4D81">
        <w:rPr>
          <w:lang w:val="en-US"/>
        </w:rPr>
        <w:t>,</w:t>
      </w:r>
      <w:r w:rsidRPr="00BF4D81">
        <w:rPr>
          <w:lang w:val="en-US"/>
        </w:rPr>
        <w:br/>
        <w:t>an association governed by the French Law of 1901, having its registered office at 20–21 Quai du Président Carnot, 92210 Saint-Cloud, France,</w:t>
      </w:r>
    </w:p>
    <w:p w14:paraId="1499A751" w14:textId="77777777" w:rsidR="00BF4D81" w:rsidRPr="00BF4D81" w:rsidRDefault="00BF4D81" w:rsidP="00BF4D81">
      <w:pPr>
        <w:rPr>
          <w:lang w:val="en-US"/>
        </w:rPr>
      </w:pPr>
      <w:r w:rsidRPr="00BF4D81">
        <w:rPr>
          <w:lang w:val="en-US"/>
        </w:rPr>
        <w:t>hereinafter referred to as “FFB”,</w:t>
      </w:r>
    </w:p>
    <w:p w14:paraId="65B49562" w14:textId="77777777" w:rsidR="00BF4D81" w:rsidRPr="00BF4D81" w:rsidRDefault="00BF4D81" w:rsidP="00BF4D81">
      <w:pPr>
        <w:rPr>
          <w:lang w:val="en-US"/>
        </w:rPr>
      </w:pPr>
      <w:r w:rsidRPr="00BF4D81">
        <w:rPr>
          <w:lang w:val="en-US"/>
        </w:rPr>
        <w:t xml:space="preserve">represented by its President, </w:t>
      </w:r>
      <w:proofErr w:type="spellStart"/>
      <w:r w:rsidRPr="00BF4D81">
        <w:rPr>
          <w:lang w:val="en-US"/>
        </w:rPr>
        <w:t>Mr</w:t>
      </w:r>
      <w:proofErr w:type="spellEnd"/>
      <w:r w:rsidRPr="00BF4D81">
        <w:rPr>
          <w:lang w:val="en-US"/>
        </w:rPr>
        <w:t xml:space="preserve"> Franck RIEHM.</w:t>
      </w:r>
    </w:p>
    <w:p w14:paraId="2289BCDA" w14:textId="77777777" w:rsidR="00BF4D81" w:rsidRDefault="00BF4D81" w:rsidP="00BF4D81"/>
    <w:p w14:paraId="6252A1D1" w14:textId="6CA8CB3C" w:rsidR="00BF4D81" w:rsidRPr="00BF4D81" w:rsidRDefault="00BF4D81" w:rsidP="00BF4D81">
      <w:pPr>
        <w:rPr>
          <w:b/>
          <w:bCs/>
          <w:lang w:val="en-US"/>
        </w:rPr>
      </w:pPr>
      <w:r w:rsidRPr="00BF4D81">
        <w:rPr>
          <w:b/>
          <w:bCs/>
          <w:lang w:val="en-US"/>
        </w:rPr>
        <w:t>PREAMBLE</w:t>
      </w:r>
    </w:p>
    <w:p w14:paraId="1716B1D5" w14:textId="77777777" w:rsidR="00BF4D81" w:rsidRPr="00BF4D81" w:rsidRDefault="00BF4D81" w:rsidP="00BF4D81">
      <w:pPr>
        <w:rPr>
          <w:lang w:val="en-US"/>
        </w:rPr>
      </w:pPr>
      <w:r w:rsidRPr="00BF4D81">
        <w:rPr>
          <w:lang w:val="en-US"/>
        </w:rPr>
        <w:t xml:space="preserve">Arts and Cultural Education </w:t>
      </w:r>
      <w:proofErr w:type="gramStart"/>
      <w:r w:rsidRPr="00BF4D81">
        <w:rPr>
          <w:lang w:val="en-US"/>
        </w:rPr>
        <w:t>constitutes</w:t>
      </w:r>
      <w:proofErr w:type="gramEnd"/>
      <w:r w:rsidRPr="00BF4D81">
        <w:rPr>
          <w:lang w:val="en-US"/>
        </w:rPr>
        <w:t xml:space="preserve"> an essential pillar of pupils’ intellectual development and personal success. Alongside the traditionally </w:t>
      </w:r>
      <w:proofErr w:type="spellStart"/>
      <w:r w:rsidRPr="00BF4D81">
        <w:rPr>
          <w:lang w:val="en-US"/>
        </w:rPr>
        <w:t>recognised</w:t>
      </w:r>
      <w:proofErr w:type="spellEnd"/>
      <w:r w:rsidRPr="00BF4D81">
        <w:rPr>
          <w:lang w:val="en-US"/>
        </w:rPr>
        <w:t xml:space="preserve"> artistic disciplines and heritage education, Scientific, Technical and Industrial Culture (CSTI) forms an integral part of Arts and Cultural Education.</w:t>
      </w:r>
    </w:p>
    <w:p w14:paraId="5CB1093A" w14:textId="77777777" w:rsidR="00BF4D81" w:rsidRPr="00BF4D81" w:rsidRDefault="00BF4D81" w:rsidP="00BF4D81">
      <w:pPr>
        <w:rPr>
          <w:lang w:val="en-US"/>
        </w:rPr>
      </w:pPr>
      <w:r w:rsidRPr="00BF4D81">
        <w:rPr>
          <w:lang w:val="en-US"/>
        </w:rPr>
        <w:t>The February 2017 synthesis report establishing the National Strategy for Scientific, Technical and Industrial Culture (SNCSTI) specifies that the strategy is founded primarily on national priorities. It defines five strategic directions intended to strengthen the field and continue its development:</w:t>
      </w:r>
    </w:p>
    <w:p w14:paraId="0EBBCF8A" w14:textId="77777777" w:rsidR="00BF4D81" w:rsidRPr="00BF4D81" w:rsidRDefault="00BF4D81" w:rsidP="00BF4D81">
      <w:pPr>
        <w:numPr>
          <w:ilvl w:val="0"/>
          <w:numId w:val="10"/>
        </w:numPr>
        <w:rPr>
          <w:lang w:val="en-US"/>
        </w:rPr>
      </w:pPr>
      <w:r w:rsidRPr="00BF4D81">
        <w:rPr>
          <w:lang w:val="en-US"/>
        </w:rPr>
        <w:t>recognition and acknowledgement of CSTI stakeholders in France;</w:t>
      </w:r>
    </w:p>
    <w:p w14:paraId="56158FF6" w14:textId="77777777" w:rsidR="00BF4D81" w:rsidRPr="00BF4D81" w:rsidRDefault="00BF4D81" w:rsidP="00BF4D81">
      <w:pPr>
        <w:numPr>
          <w:ilvl w:val="0"/>
          <w:numId w:val="10"/>
        </w:numPr>
        <w:rPr>
          <w:lang w:val="en-US"/>
        </w:rPr>
      </w:pPr>
      <w:r w:rsidRPr="00BF4D81">
        <w:rPr>
          <w:lang w:val="en-US"/>
        </w:rPr>
        <w:t>digital knowledge, impacts and uses;</w:t>
      </w:r>
    </w:p>
    <w:p w14:paraId="1440BE5D" w14:textId="77777777" w:rsidR="00BF4D81" w:rsidRPr="00BF4D81" w:rsidRDefault="00BF4D81" w:rsidP="00BF4D81">
      <w:pPr>
        <w:numPr>
          <w:ilvl w:val="0"/>
          <w:numId w:val="10"/>
        </w:numPr>
        <w:rPr>
          <w:lang w:val="en-US"/>
        </w:rPr>
      </w:pPr>
      <w:r w:rsidRPr="00BF4D81">
        <w:rPr>
          <w:lang w:val="en-US"/>
        </w:rPr>
        <w:t>democratic debate and support for public policies;</w:t>
      </w:r>
    </w:p>
    <w:p w14:paraId="12D3C224" w14:textId="77777777" w:rsidR="00BF4D81" w:rsidRPr="00BF4D81" w:rsidRDefault="00BF4D81" w:rsidP="00BF4D81">
      <w:pPr>
        <w:numPr>
          <w:ilvl w:val="0"/>
          <w:numId w:val="10"/>
        </w:numPr>
        <w:rPr>
          <w:lang w:val="en-US"/>
        </w:rPr>
      </w:pPr>
      <w:r w:rsidRPr="00BF4D81">
        <w:rPr>
          <w:lang w:val="en-US"/>
        </w:rPr>
        <w:lastRenderedPageBreak/>
        <w:t>a scientific approach for society;</w:t>
      </w:r>
    </w:p>
    <w:p w14:paraId="60CB9613" w14:textId="77777777" w:rsidR="00BF4D81" w:rsidRPr="00BF4D81" w:rsidRDefault="00BF4D81" w:rsidP="00BF4D81">
      <w:pPr>
        <w:numPr>
          <w:ilvl w:val="0"/>
          <w:numId w:val="10"/>
        </w:numPr>
      </w:pPr>
      <w:proofErr w:type="spellStart"/>
      <w:proofErr w:type="gramStart"/>
      <w:r w:rsidRPr="00BF4D81">
        <w:t>technical</w:t>
      </w:r>
      <w:proofErr w:type="spellEnd"/>
      <w:proofErr w:type="gramEnd"/>
      <w:r w:rsidRPr="00BF4D81">
        <w:t xml:space="preserve">, </w:t>
      </w:r>
      <w:proofErr w:type="spellStart"/>
      <w:r w:rsidRPr="00BF4D81">
        <w:t>industrial</w:t>
      </w:r>
      <w:proofErr w:type="spellEnd"/>
      <w:r w:rsidRPr="00BF4D81">
        <w:t xml:space="preserve"> and innovation culture.</w:t>
      </w:r>
    </w:p>
    <w:p w14:paraId="7D493D2D" w14:textId="77777777" w:rsidR="00BF4D81" w:rsidRPr="00BF4D81" w:rsidRDefault="00BF4D81" w:rsidP="00BF4D81">
      <w:pPr>
        <w:rPr>
          <w:lang w:val="en-US"/>
        </w:rPr>
      </w:pPr>
      <w:r w:rsidRPr="00BF4D81">
        <w:rPr>
          <w:lang w:val="en-US"/>
        </w:rPr>
        <w:t>It is therefore important to develop, throughout pupils’ schooling, links between the educational environment and stakeholders from the scientific, technological and particularly the voluntary sector.</w:t>
      </w:r>
    </w:p>
    <w:p w14:paraId="7DBCE539" w14:textId="77777777" w:rsidR="00BF4D81" w:rsidRPr="00BF4D81" w:rsidRDefault="00BF4D81" w:rsidP="00BF4D81">
      <w:pPr>
        <w:rPr>
          <w:lang w:val="en-US"/>
        </w:rPr>
      </w:pPr>
      <w:r w:rsidRPr="00BF4D81">
        <w:rPr>
          <w:lang w:val="en-US"/>
        </w:rPr>
        <w:t xml:space="preserve">Scientific and technical culture prepares future citizens to understand the world around them and to address societal and environmental challenges. Through evolving educational practices, particular attention is paid to increasing the attractiveness of scientific and technological subjects </w:t>
      </w:r>
      <w:proofErr w:type="gramStart"/>
      <w:r w:rsidRPr="00BF4D81">
        <w:rPr>
          <w:lang w:val="en-US"/>
        </w:rPr>
        <w:t>in order to</w:t>
      </w:r>
      <w:proofErr w:type="gramEnd"/>
      <w:r w:rsidRPr="00BF4D81">
        <w:rPr>
          <w:lang w:val="en-US"/>
        </w:rPr>
        <w:t xml:space="preserve"> foster both the desire to learn and the enjoyment of </w:t>
      </w:r>
      <w:proofErr w:type="spellStart"/>
      <w:r w:rsidRPr="00BF4D81">
        <w:rPr>
          <w:lang w:val="en-US"/>
        </w:rPr>
        <w:t>practising</w:t>
      </w:r>
      <w:proofErr w:type="spellEnd"/>
      <w:r w:rsidRPr="00BF4D81">
        <w:rPr>
          <w:lang w:val="en-US"/>
        </w:rPr>
        <w:t xml:space="preserve"> these disciplines.</w:t>
      </w:r>
    </w:p>
    <w:p w14:paraId="52B2C1E7" w14:textId="77777777" w:rsidR="00BF4D81" w:rsidRPr="00BF4D81" w:rsidRDefault="00BF4D81" w:rsidP="00BF4D81">
      <w:pPr>
        <w:rPr>
          <w:lang w:val="en-US"/>
        </w:rPr>
      </w:pPr>
      <w:r w:rsidRPr="00BF4D81">
        <w:rPr>
          <w:lang w:val="en-US"/>
        </w:rPr>
        <w:t xml:space="preserve">Within the strategic priority entitled “A Scientific Approach for Society”, the scientific method is </w:t>
      </w:r>
      <w:proofErr w:type="spellStart"/>
      <w:r w:rsidRPr="00BF4D81">
        <w:rPr>
          <w:lang w:val="en-US"/>
        </w:rPr>
        <w:t>recognised</w:t>
      </w:r>
      <w:proofErr w:type="spellEnd"/>
      <w:r w:rsidRPr="00BF4D81">
        <w:rPr>
          <w:lang w:val="en-US"/>
        </w:rPr>
        <w:t xml:space="preserve"> as an essential tool in combating manipulation, a vital means of preparing pupils for informed citizenship, and a powerful vehicle for democracy. Consequently, the SNCSTI identifies as a key action area, both within and beyond the school environment, educational initiatives and </w:t>
      </w:r>
      <w:proofErr w:type="spellStart"/>
      <w:r w:rsidRPr="00BF4D81">
        <w:rPr>
          <w:lang w:val="en-US"/>
        </w:rPr>
        <w:t>programmes</w:t>
      </w:r>
      <w:proofErr w:type="spellEnd"/>
      <w:r w:rsidRPr="00BF4D81">
        <w:rPr>
          <w:lang w:val="en-US"/>
        </w:rPr>
        <w:t xml:space="preserve"> that support science education, encourage experimentation through scientific approaches, and develop pupils’ scientific, technical and industrial culture.</w:t>
      </w:r>
    </w:p>
    <w:p w14:paraId="2EC5A10C" w14:textId="77777777" w:rsidR="00BF4D81" w:rsidRPr="00BF4D81" w:rsidRDefault="00BF4D81" w:rsidP="00BF4D81">
      <w:pPr>
        <w:rPr>
          <w:lang w:val="en-US"/>
        </w:rPr>
      </w:pPr>
      <w:r w:rsidRPr="00BF4D81">
        <w:rPr>
          <w:lang w:val="en-US"/>
        </w:rPr>
        <w:t xml:space="preserve">These initiatives and </w:t>
      </w:r>
      <w:proofErr w:type="spellStart"/>
      <w:r w:rsidRPr="00BF4D81">
        <w:rPr>
          <w:lang w:val="en-US"/>
        </w:rPr>
        <w:t>programmes</w:t>
      </w:r>
      <w:proofErr w:type="spellEnd"/>
      <w:r w:rsidRPr="00BF4D81">
        <w:rPr>
          <w:lang w:val="en-US"/>
        </w:rPr>
        <w:t xml:space="preserve"> are intended for primary schools, lower secondary schools and upper secondary schools and contribute, depending on the theme, to the four educational pathways </w:t>
      </w:r>
      <w:proofErr w:type="spellStart"/>
      <w:r w:rsidRPr="00BF4D81">
        <w:rPr>
          <w:lang w:val="en-US"/>
        </w:rPr>
        <w:t>organised</w:t>
      </w:r>
      <w:proofErr w:type="spellEnd"/>
      <w:r w:rsidRPr="00BF4D81">
        <w:rPr>
          <w:lang w:val="en-US"/>
        </w:rPr>
        <w:t xml:space="preserve"> for pupils: the Arts and Cultural Education Pathway, the Future Pathway, the Citizenship Pathway and the Health Pathway. Their purpose is to help pupils structure their learning and take ownership of their educational journey.</w:t>
      </w:r>
    </w:p>
    <w:p w14:paraId="595E6F8E" w14:textId="77777777" w:rsidR="00BF4D81" w:rsidRDefault="00BF4D81" w:rsidP="00BF4D81"/>
    <w:p w14:paraId="59A36943" w14:textId="510C2118" w:rsidR="00BF4D81" w:rsidRPr="00BF4D81" w:rsidRDefault="00BF4D81" w:rsidP="00BF4D81">
      <w:pPr>
        <w:rPr>
          <w:b/>
          <w:bCs/>
        </w:rPr>
      </w:pPr>
      <w:r w:rsidRPr="00BF4D81">
        <w:rPr>
          <w:b/>
          <w:bCs/>
        </w:rPr>
        <w:t>WHEREAS</w:t>
      </w:r>
    </w:p>
    <w:p w14:paraId="6D0A14B7" w14:textId="77777777" w:rsidR="00BF4D81" w:rsidRPr="00BF4D81" w:rsidRDefault="00BF4D81" w:rsidP="00BF4D81">
      <w:pPr>
        <w:numPr>
          <w:ilvl w:val="0"/>
          <w:numId w:val="11"/>
        </w:numPr>
        <w:rPr>
          <w:lang w:val="en-US"/>
        </w:rPr>
      </w:pPr>
      <w:r w:rsidRPr="00BF4D81">
        <w:rPr>
          <w:lang w:val="en-US"/>
        </w:rPr>
        <w:t xml:space="preserve">bridge is </w:t>
      </w:r>
      <w:proofErr w:type="spellStart"/>
      <w:r w:rsidRPr="00BF4D81">
        <w:rPr>
          <w:lang w:val="en-US"/>
        </w:rPr>
        <w:t>recognised</w:t>
      </w:r>
      <w:proofErr w:type="spellEnd"/>
      <w:r w:rsidRPr="00BF4D81">
        <w:rPr>
          <w:lang w:val="en-US"/>
        </w:rPr>
        <w:t xml:space="preserve"> as an activity that develops intellectual abilities such as memory, logical reasoning, abstraction, problem-solving and the implementation of strategic thinking;</w:t>
      </w:r>
    </w:p>
    <w:p w14:paraId="36C9A778" w14:textId="77777777" w:rsidR="00BF4D81" w:rsidRPr="00BF4D81" w:rsidRDefault="00BF4D81" w:rsidP="00BF4D81">
      <w:pPr>
        <w:numPr>
          <w:ilvl w:val="0"/>
          <w:numId w:val="11"/>
        </w:numPr>
        <w:rPr>
          <w:lang w:val="en-US"/>
        </w:rPr>
      </w:pPr>
      <w:r w:rsidRPr="00BF4D81">
        <w:rPr>
          <w:lang w:val="en-US"/>
        </w:rPr>
        <w:t>the practice of bridge contributes to personal development by encouraging attention, imagination, anticipation, judgement and self-confidence;</w:t>
      </w:r>
    </w:p>
    <w:p w14:paraId="712A6B27" w14:textId="77777777" w:rsidR="00BF4D81" w:rsidRPr="00BF4D81" w:rsidRDefault="00BF4D81" w:rsidP="00BF4D81">
      <w:pPr>
        <w:numPr>
          <w:ilvl w:val="0"/>
          <w:numId w:val="11"/>
        </w:numPr>
        <w:rPr>
          <w:lang w:val="en-US"/>
        </w:rPr>
      </w:pPr>
      <w:r w:rsidRPr="00BF4D81">
        <w:rPr>
          <w:lang w:val="en-US"/>
        </w:rPr>
        <w:t>bridge, like other games, is a school of self-discipline that promotes learning rules, respecting others and, as such, contributes to citizenship education;</w:t>
      </w:r>
    </w:p>
    <w:p w14:paraId="035D98BB" w14:textId="77777777" w:rsidR="00BF4D81" w:rsidRPr="00BF4D81" w:rsidRDefault="00BF4D81" w:rsidP="00BF4D81">
      <w:pPr>
        <w:numPr>
          <w:ilvl w:val="0"/>
          <w:numId w:val="11"/>
        </w:numPr>
        <w:rPr>
          <w:lang w:val="en-US"/>
        </w:rPr>
      </w:pPr>
      <w:r w:rsidRPr="00BF4D81">
        <w:rPr>
          <w:lang w:val="en-US"/>
        </w:rPr>
        <w:t xml:space="preserve">the French Bridge Federation brings together associations whose purpose is the practice, study and promotion of bridge, and whose missions include promoting, teaching and developing bridge in all environments, particularly among young people; </w:t>
      </w:r>
      <w:proofErr w:type="spellStart"/>
      <w:r w:rsidRPr="00BF4D81">
        <w:rPr>
          <w:lang w:val="en-US"/>
        </w:rPr>
        <w:t>organising</w:t>
      </w:r>
      <w:proofErr w:type="spellEnd"/>
      <w:r w:rsidRPr="00BF4D81">
        <w:rPr>
          <w:lang w:val="en-US"/>
        </w:rPr>
        <w:t xml:space="preserve"> events and competitions; and representing its member associations before the World Bridge Federation.</w:t>
      </w:r>
    </w:p>
    <w:p w14:paraId="7B5CBC18" w14:textId="77777777" w:rsidR="00BF4D81" w:rsidRDefault="00BF4D81" w:rsidP="00BF4D81"/>
    <w:p w14:paraId="27323BED" w14:textId="42E236CA" w:rsidR="00BF4D81" w:rsidRPr="00BF4D81" w:rsidRDefault="00BF4D81" w:rsidP="00BF4D81">
      <w:pPr>
        <w:rPr>
          <w:b/>
          <w:bCs/>
        </w:rPr>
      </w:pPr>
      <w:r w:rsidRPr="00BF4D81">
        <w:rPr>
          <w:b/>
          <w:bCs/>
        </w:rPr>
        <w:t>RECALLING</w:t>
      </w:r>
    </w:p>
    <w:p w14:paraId="4D31B94E" w14:textId="77777777" w:rsidR="00BF4D81" w:rsidRPr="00BF4D81" w:rsidRDefault="00BF4D81" w:rsidP="00BF4D81">
      <w:pPr>
        <w:numPr>
          <w:ilvl w:val="0"/>
          <w:numId w:val="12"/>
        </w:numPr>
        <w:rPr>
          <w:lang w:val="en-US"/>
        </w:rPr>
      </w:pPr>
      <w:r w:rsidRPr="00BF4D81">
        <w:rPr>
          <w:lang w:val="en-US"/>
        </w:rPr>
        <w:t xml:space="preserve">that national and international surveys, together with the report </w:t>
      </w:r>
      <w:r w:rsidRPr="00BF4D81">
        <w:rPr>
          <w:i/>
          <w:iCs/>
          <w:lang w:val="en-US"/>
        </w:rPr>
        <w:t>“21 Measures for Mathematics Education”</w:t>
      </w:r>
      <w:r w:rsidRPr="00BF4D81">
        <w:rPr>
          <w:lang w:val="en-US"/>
        </w:rPr>
        <w:t xml:space="preserve">, reveal a significant decline in pupils’ mathematical competencies, giving rise to a situation of innumeracy </w:t>
      </w:r>
      <w:proofErr w:type="spellStart"/>
      <w:r w:rsidRPr="00BF4D81">
        <w:rPr>
          <w:lang w:val="en-US"/>
        </w:rPr>
        <w:t>characterised</w:t>
      </w:r>
      <w:proofErr w:type="spellEnd"/>
      <w:r w:rsidRPr="00BF4D81">
        <w:rPr>
          <w:lang w:val="en-US"/>
        </w:rPr>
        <w:t xml:space="preserve"> by insufficient mastery of fundamental operations, calculation, reasoning and logic;</w:t>
      </w:r>
    </w:p>
    <w:p w14:paraId="079EC6BF" w14:textId="77777777" w:rsidR="00BF4D81" w:rsidRPr="00BF4D81" w:rsidRDefault="00BF4D81" w:rsidP="00BF4D81">
      <w:pPr>
        <w:numPr>
          <w:ilvl w:val="0"/>
          <w:numId w:val="12"/>
        </w:numPr>
        <w:rPr>
          <w:lang w:val="en-US"/>
        </w:rPr>
      </w:pPr>
      <w:r w:rsidRPr="00BF4D81">
        <w:rPr>
          <w:lang w:val="en-US"/>
        </w:rPr>
        <w:t xml:space="preserve">that the report </w:t>
      </w:r>
      <w:r w:rsidRPr="00BF4D81">
        <w:rPr>
          <w:i/>
          <w:iCs/>
          <w:lang w:val="en-US"/>
        </w:rPr>
        <w:t>“21 Measures for Mathematics Education”</w:t>
      </w:r>
      <w:r w:rsidRPr="00BF4D81">
        <w:rPr>
          <w:lang w:val="en-US"/>
        </w:rPr>
        <w:t xml:space="preserve"> recommends encouraging institutional partnerships with extracurricular </w:t>
      </w:r>
      <w:proofErr w:type="spellStart"/>
      <w:r w:rsidRPr="00BF4D81">
        <w:rPr>
          <w:lang w:val="en-US"/>
        </w:rPr>
        <w:t>organisations</w:t>
      </w:r>
      <w:proofErr w:type="spellEnd"/>
      <w:r w:rsidRPr="00BF4D81">
        <w:rPr>
          <w:lang w:val="en-US"/>
        </w:rPr>
        <w:t>, supporting the development of this sector, and identifying and sustaining clubs linked to mathematics (modelling, computing, strategy games, etc.);</w:t>
      </w:r>
    </w:p>
    <w:p w14:paraId="713B45F4" w14:textId="77777777" w:rsidR="00BF4D81" w:rsidRPr="00BF4D81" w:rsidRDefault="00BF4D81" w:rsidP="00BF4D81">
      <w:pPr>
        <w:numPr>
          <w:ilvl w:val="0"/>
          <w:numId w:val="12"/>
        </w:numPr>
        <w:rPr>
          <w:lang w:val="en-US"/>
        </w:rPr>
      </w:pPr>
      <w:r w:rsidRPr="00BF4D81">
        <w:rPr>
          <w:lang w:val="en-US"/>
        </w:rPr>
        <w:t xml:space="preserve">that the report </w:t>
      </w:r>
      <w:r w:rsidRPr="00BF4D81">
        <w:rPr>
          <w:i/>
          <w:iCs/>
          <w:lang w:val="en-US"/>
        </w:rPr>
        <w:t>“21 Measures for Mathematics Education”</w:t>
      </w:r>
      <w:r w:rsidRPr="00BF4D81">
        <w:rPr>
          <w:lang w:val="en-US"/>
        </w:rPr>
        <w:t xml:space="preserve"> also specifies that, by approaching fundamentals differently, games contribute to pupils’ mathematical education; traditional games (such as chess), rule-based games (card games, board games for younger children, goose games, etc.) and construction games stimulate logical reasoning and help create or restore the pleasure of doing mathematics, both for pupils and teachers;</w:t>
      </w:r>
    </w:p>
    <w:p w14:paraId="09F7A72B" w14:textId="4284A1E8" w:rsidR="00BF4D81" w:rsidRPr="00BF4D81" w:rsidRDefault="00BF4D81" w:rsidP="00BF4D81">
      <w:pPr>
        <w:numPr>
          <w:ilvl w:val="0"/>
          <w:numId w:val="12"/>
        </w:numPr>
        <w:rPr>
          <w:lang w:val="en-US"/>
        </w:rPr>
      </w:pPr>
      <w:r w:rsidRPr="00BF4D81">
        <w:rPr>
          <w:lang w:val="en-US"/>
        </w:rPr>
        <w:t xml:space="preserve">that Petit Bridge, integrated into </w:t>
      </w:r>
      <w:r w:rsidR="008A345C" w:rsidRPr="008A345C">
        <w:rPr>
          <w:lang w:val="en-US"/>
        </w:rPr>
        <w:t xml:space="preserve">the "Bird Counters" initiative ("Les </w:t>
      </w:r>
      <w:proofErr w:type="spellStart"/>
      <w:r w:rsidR="008A345C" w:rsidRPr="008A345C">
        <w:rPr>
          <w:lang w:val="en-US"/>
        </w:rPr>
        <w:t>Oiseaux-Compteurs</w:t>
      </w:r>
      <w:proofErr w:type="spellEnd"/>
      <w:r w:rsidR="008A345C" w:rsidRPr="008A345C">
        <w:rPr>
          <w:lang w:val="en-US"/>
        </w:rPr>
        <w:t>")</w:t>
      </w:r>
      <w:r w:rsidRPr="00BF4D81">
        <w:rPr>
          <w:lang w:val="en-US"/>
        </w:rPr>
        <w:t xml:space="preserve"> launched in December 2021, forms part of an approach to </w:t>
      </w:r>
      <w:proofErr w:type="spellStart"/>
      <w:r w:rsidRPr="00BF4D81">
        <w:rPr>
          <w:lang w:val="en-US"/>
        </w:rPr>
        <w:t>practising</w:t>
      </w:r>
      <w:proofErr w:type="spellEnd"/>
      <w:r w:rsidRPr="00BF4D81">
        <w:rPr>
          <w:lang w:val="en-US"/>
        </w:rPr>
        <w:t xml:space="preserve"> mathematics within the classroom, involving families, and supports an experiment led by Stanislas Dehaene, President of the Scientific Council of the Ministry of National Education, with the support of the IDEE research laboratory.</w:t>
      </w:r>
    </w:p>
    <w:p w14:paraId="29095C45" w14:textId="77777777" w:rsidR="00BF4D81" w:rsidRPr="008A345C" w:rsidRDefault="00BF4D81" w:rsidP="00BF4D81">
      <w:pPr>
        <w:rPr>
          <w:lang w:val="en-US"/>
        </w:rPr>
      </w:pPr>
    </w:p>
    <w:p w14:paraId="09743573" w14:textId="65F9539B" w:rsidR="00BF4D81" w:rsidRPr="00BF4D81" w:rsidRDefault="00BF4D81" w:rsidP="00BF4D81">
      <w:pPr>
        <w:rPr>
          <w:lang w:val="en-US"/>
        </w:rPr>
      </w:pPr>
      <w:r w:rsidRPr="00BF4D81">
        <w:rPr>
          <w:lang w:val="en-US"/>
        </w:rPr>
        <w:t>The Parties have therefore agreed as follows:</w:t>
      </w:r>
    </w:p>
    <w:p w14:paraId="4A333725" w14:textId="77777777" w:rsidR="00BF4D81" w:rsidRPr="00BF4D81" w:rsidRDefault="00BF4D81" w:rsidP="00BF4D81">
      <w:pPr>
        <w:rPr>
          <w:b/>
          <w:bCs/>
          <w:lang w:val="en-US"/>
        </w:rPr>
      </w:pPr>
      <w:r w:rsidRPr="00BF4D81">
        <w:rPr>
          <w:b/>
          <w:bCs/>
          <w:lang w:val="en-US"/>
        </w:rPr>
        <w:t>ARTICLE 1 – OBJECTIVES</w:t>
      </w:r>
    </w:p>
    <w:p w14:paraId="29D77364" w14:textId="77777777" w:rsidR="00BF4D81" w:rsidRPr="00BF4D81" w:rsidRDefault="00BF4D81" w:rsidP="00BF4D81">
      <w:pPr>
        <w:rPr>
          <w:lang w:val="en-US"/>
        </w:rPr>
      </w:pPr>
      <w:r w:rsidRPr="00BF4D81">
        <w:rPr>
          <w:lang w:val="en-US"/>
        </w:rPr>
        <w:t>Through this agreement, the Ministry responsible for National Education and the FFB affirm their shared commitment to promoting the practice of bridge in primary schools, lower secondary schools and upper secondary schools.</w:t>
      </w:r>
    </w:p>
    <w:p w14:paraId="49727ADA" w14:textId="77777777" w:rsidR="00BF4D81" w:rsidRPr="00BF4D81" w:rsidRDefault="00BF4D81" w:rsidP="00BF4D81">
      <w:pPr>
        <w:rPr>
          <w:lang w:val="en-US"/>
        </w:rPr>
      </w:pPr>
      <w:r w:rsidRPr="00BF4D81">
        <w:rPr>
          <w:lang w:val="en-US"/>
        </w:rPr>
        <w:t>Their objective is to encourage the development of bridge among pupils, within both school and extracurricular settings, as a means of acquiring the knowledge and competencies defined by the Common Core of Knowledge, Skills and Culture and by national curricula.</w:t>
      </w:r>
    </w:p>
    <w:p w14:paraId="23ABDF63" w14:textId="77777777" w:rsidR="00BF4D81" w:rsidRDefault="00BF4D81" w:rsidP="00BF4D81"/>
    <w:p w14:paraId="6EF640B6" w14:textId="67257950" w:rsidR="00BF4D81" w:rsidRPr="00BF4D81" w:rsidRDefault="00BF4D81" w:rsidP="00BF4D81">
      <w:pPr>
        <w:rPr>
          <w:b/>
          <w:bCs/>
          <w:lang w:val="en-US"/>
        </w:rPr>
      </w:pPr>
      <w:r w:rsidRPr="00BF4D81">
        <w:rPr>
          <w:b/>
          <w:bCs/>
          <w:lang w:val="en-US"/>
        </w:rPr>
        <w:t>ARTICLE 2 – ACTIONS FOR PUPILS</w:t>
      </w:r>
    </w:p>
    <w:p w14:paraId="781D6892" w14:textId="77777777" w:rsidR="00BF4D81" w:rsidRPr="00BF4D81" w:rsidRDefault="00BF4D81" w:rsidP="00BF4D81">
      <w:pPr>
        <w:rPr>
          <w:lang w:val="en-US"/>
        </w:rPr>
      </w:pPr>
      <w:r w:rsidRPr="00BF4D81">
        <w:rPr>
          <w:lang w:val="en-US"/>
        </w:rPr>
        <w:lastRenderedPageBreak/>
        <w:t>MENJS and the FFB agree to promote the practice of bridge among pupils in primary schools, lower secondary schools and upper secondary schools.</w:t>
      </w:r>
    </w:p>
    <w:p w14:paraId="1B419CF5" w14:textId="77777777" w:rsidR="00BF4D81" w:rsidRPr="00BF4D81" w:rsidRDefault="00BF4D81" w:rsidP="00BF4D81">
      <w:pPr>
        <w:rPr>
          <w:b/>
          <w:bCs/>
          <w:lang w:val="en-US"/>
        </w:rPr>
      </w:pPr>
      <w:r w:rsidRPr="00BF4D81">
        <w:rPr>
          <w:b/>
          <w:bCs/>
          <w:lang w:val="en-US"/>
        </w:rPr>
        <w:t>Actions proposed by the FFB</w:t>
      </w:r>
    </w:p>
    <w:p w14:paraId="3F2F167B" w14:textId="77777777" w:rsidR="00BF4D81" w:rsidRPr="00BF4D81" w:rsidRDefault="00BF4D81" w:rsidP="00BF4D81">
      <w:pPr>
        <w:rPr>
          <w:lang w:val="en-US"/>
        </w:rPr>
      </w:pPr>
      <w:r w:rsidRPr="00BF4D81">
        <w:rPr>
          <w:lang w:val="en-US"/>
        </w:rPr>
        <w:t>These actions may take the form of:</w:t>
      </w:r>
    </w:p>
    <w:p w14:paraId="0C7E3E5C" w14:textId="7BDD67A3" w:rsidR="00BF4D81" w:rsidRPr="00BF4D81" w:rsidRDefault="00BF4D81" w:rsidP="00BF4D81">
      <w:pPr>
        <w:numPr>
          <w:ilvl w:val="0"/>
          <w:numId w:val="13"/>
        </w:numPr>
        <w:rPr>
          <w:lang w:val="en-US"/>
        </w:rPr>
      </w:pPr>
      <w:r w:rsidRPr="00BF4D81">
        <w:rPr>
          <w:lang w:val="en-US"/>
        </w:rPr>
        <w:t>educational interventions within schools from Cycle 2 onwards (Years 1 to 3 of primary education), complementing the work of teachers and educational staff, during school or extracurricular hours;</w:t>
      </w:r>
    </w:p>
    <w:p w14:paraId="622B0272" w14:textId="77777777" w:rsidR="00BF4D81" w:rsidRPr="00BF4D81" w:rsidRDefault="00BF4D81" w:rsidP="00BF4D81">
      <w:pPr>
        <w:numPr>
          <w:ilvl w:val="0"/>
          <w:numId w:val="13"/>
        </w:numPr>
        <w:rPr>
          <w:lang w:val="en-US"/>
        </w:rPr>
      </w:pPr>
      <w:r w:rsidRPr="00BF4D81">
        <w:rPr>
          <w:lang w:val="en-US"/>
        </w:rPr>
        <w:t>support for the creation and facilitation of bridge clubs within schools;</w:t>
      </w:r>
    </w:p>
    <w:p w14:paraId="2709C401" w14:textId="77777777" w:rsidR="00BF4D81" w:rsidRPr="00BF4D81" w:rsidRDefault="00BF4D81" w:rsidP="00BF4D81">
      <w:pPr>
        <w:numPr>
          <w:ilvl w:val="0"/>
          <w:numId w:val="13"/>
        </w:numPr>
        <w:rPr>
          <w:lang w:val="en-US"/>
        </w:rPr>
      </w:pPr>
      <w:r w:rsidRPr="00BF4D81">
        <w:rPr>
          <w:lang w:val="en-US"/>
        </w:rPr>
        <w:t xml:space="preserve">the </w:t>
      </w:r>
      <w:proofErr w:type="spellStart"/>
      <w:r w:rsidRPr="00BF4D81">
        <w:rPr>
          <w:lang w:val="en-US"/>
        </w:rPr>
        <w:t>organisation</w:t>
      </w:r>
      <w:proofErr w:type="spellEnd"/>
      <w:r w:rsidRPr="00BF4D81">
        <w:rPr>
          <w:lang w:val="en-US"/>
        </w:rPr>
        <w:t xml:space="preserve"> of bridge competitions for pupils;</w:t>
      </w:r>
    </w:p>
    <w:p w14:paraId="3CB1261E" w14:textId="77777777" w:rsidR="00BF4D81" w:rsidRPr="00BF4D81" w:rsidRDefault="00BF4D81" w:rsidP="00BF4D81">
      <w:pPr>
        <w:numPr>
          <w:ilvl w:val="0"/>
          <w:numId w:val="13"/>
        </w:numPr>
        <w:rPr>
          <w:lang w:val="en-US"/>
        </w:rPr>
      </w:pPr>
      <w:r w:rsidRPr="00BF4D81">
        <w:rPr>
          <w:lang w:val="en-US"/>
        </w:rPr>
        <w:t xml:space="preserve">the development of bridge-related educational initiatives within schools as part of </w:t>
      </w:r>
      <w:proofErr w:type="spellStart"/>
      <w:r w:rsidRPr="00BF4D81">
        <w:rPr>
          <w:lang w:val="en-US"/>
        </w:rPr>
        <w:t>personalised</w:t>
      </w:r>
      <w:proofErr w:type="spellEnd"/>
      <w:r w:rsidRPr="00BF4D81">
        <w:rPr>
          <w:lang w:val="en-US"/>
        </w:rPr>
        <w:t xml:space="preserve"> support </w:t>
      </w:r>
      <w:proofErr w:type="spellStart"/>
      <w:r w:rsidRPr="00BF4D81">
        <w:rPr>
          <w:lang w:val="en-US"/>
        </w:rPr>
        <w:t>programmes</w:t>
      </w:r>
      <w:proofErr w:type="spellEnd"/>
      <w:r w:rsidRPr="00BF4D81">
        <w:rPr>
          <w:lang w:val="en-US"/>
        </w:rPr>
        <w:t>;</w:t>
      </w:r>
    </w:p>
    <w:p w14:paraId="731018DF" w14:textId="77777777" w:rsidR="00BF4D81" w:rsidRPr="00BF4D81" w:rsidRDefault="00BF4D81" w:rsidP="00BF4D81">
      <w:pPr>
        <w:numPr>
          <w:ilvl w:val="0"/>
          <w:numId w:val="13"/>
        </w:numPr>
        <w:rPr>
          <w:lang w:val="en-US"/>
        </w:rPr>
      </w:pPr>
      <w:r w:rsidRPr="00BF4D81">
        <w:rPr>
          <w:lang w:val="en-US"/>
        </w:rPr>
        <w:t>the provision of educational tools and teaching resources to facilitate the delivery of bridge sessions in class;</w:t>
      </w:r>
    </w:p>
    <w:p w14:paraId="4B972A42" w14:textId="77777777" w:rsidR="00BF4D81" w:rsidRPr="00BF4D81" w:rsidRDefault="00BF4D81" w:rsidP="00BF4D81">
      <w:pPr>
        <w:numPr>
          <w:ilvl w:val="0"/>
          <w:numId w:val="13"/>
        </w:numPr>
        <w:rPr>
          <w:lang w:val="en-US"/>
        </w:rPr>
      </w:pPr>
      <w:r w:rsidRPr="00BF4D81">
        <w:rPr>
          <w:lang w:val="en-US"/>
        </w:rPr>
        <w:t xml:space="preserve">participation in educational initiatives </w:t>
      </w:r>
      <w:proofErr w:type="spellStart"/>
      <w:r w:rsidRPr="00BF4D81">
        <w:rPr>
          <w:lang w:val="en-US"/>
        </w:rPr>
        <w:t>organised</w:t>
      </w:r>
      <w:proofErr w:type="spellEnd"/>
      <w:r w:rsidRPr="00BF4D81">
        <w:rPr>
          <w:lang w:val="en-US"/>
        </w:rPr>
        <w:t xml:space="preserve"> by the Ministry responsible for National Education, such as Mathematics Week.</w:t>
      </w:r>
    </w:p>
    <w:p w14:paraId="013CFA93" w14:textId="77777777" w:rsidR="00BF4D81" w:rsidRPr="00BF4D81" w:rsidRDefault="00BF4D81" w:rsidP="00BF4D81">
      <w:pPr>
        <w:rPr>
          <w:b/>
          <w:bCs/>
          <w:lang w:val="en-US"/>
        </w:rPr>
      </w:pPr>
      <w:r w:rsidRPr="00BF4D81">
        <w:rPr>
          <w:b/>
          <w:bCs/>
          <w:lang w:val="en-US"/>
        </w:rPr>
        <w:t>Target audience</w:t>
      </w:r>
    </w:p>
    <w:p w14:paraId="1B658FA7" w14:textId="77777777" w:rsidR="00BF4D81" w:rsidRPr="00BF4D81" w:rsidRDefault="00BF4D81" w:rsidP="00BF4D81">
      <w:pPr>
        <w:rPr>
          <w:lang w:val="en-US"/>
        </w:rPr>
      </w:pPr>
      <w:r w:rsidRPr="00BF4D81">
        <w:rPr>
          <w:lang w:val="en-US"/>
        </w:rPr>
        <w:t>The partnership potentially concerns all primary and secondary educational establishments.</w:t>
      </w:r>
    </w:p>
    <w:p w14:paraId="2244C0A1" w14:textId="77777777" w:rsidR="00BF4D81" w:rsidRPr="00BF4D81" w:rsidRDefault="00BF4D81" w:rsidP="00BF4D81">
      <w:pPr>
        <w:rPr>
          <w:lang w:val="en-US"/>
        </w:rPr>
      </w:pPr>
      <w:proofErr w:type="gramStart"/>
      <w:r w:rsidRPr="00BF4D81">
        <w:rPr>
          <w:lang w:val="en-US"/>
        </w:rPr>
        <w:t>In order to</w:t>
      </w:r>
      <w:proofErr w:type="gramEnd"/>
      <w:r w:rsidRPr="00BF4D81">
        <w:rPr>
          <w:lang w:val="en-US"/>
        </w:rPr>
        <w:t xml:space="preserve"> support the success of all pupils, particular attention </w:t>
      </w:r>
      <w:proofErr w:type="gramStart"/>
      <w:r w:rsidRPr="00BF4D81">
        <w:rPr>
          <w:lang w:val="en-US"/>
        </w:rPr>
        <w:t>shall</w:t>
      </w:r>
      <w:proofErr w:type="gramEnd"/>
      <w:r w:rsidRPr="00BF4D81">
        <w:rPr>
          <w:lang w:val="en-US"/>
        </w:rPr>
        <w:t xml:space="preserve"> be paid to those experiencing educational difficulties, especially in mathematics.</w:t>
      </w:r>
    </w:p>
    <w:p w14:paraId="429E9FFD" w14:textId="77777777" w:rsidR="00BF4D81" w:rsidRPr="00BF4D81" w:rsidRDefault="00BF4D81" w:rsidP="00BF4D81">
      <w:pPr>
        <w:rPr>
          <w:lang w:val="en-US"/>
        </w:rPr>
      </w:pPr>
      <w:r w:rsidRPr="00BF4D81">
        <w:rPr>
          <w:lang w:val="en-US"/>
        </w:rPr>
        <w:t xml:space="preserve">Schools within priority education networks and vocational education establishments shall also receive </w:t>
      </w:r>
      <w:proofErr w:type="gramStart"/>
      <w:r w:rsidRPr="00BF4D81">
        <w:rPr>
          <w:lang w:val="en-US"/>
        </w:rPr>
        <w:t>particular consideration</w:t>
      </w:r>
      <w:proofErr w:type="gramEnd"/>
      <w:r w:rsidRPr="00BF4D81">
        <w:rPr>
          <w:lang w:val="en-US"/>
        </w:rPr>
        <w:t>.</w:t>
      </w:r>
    </w:p>
    <w:p w14:paraId="5A6C97A5" w14:textId="77777777" w:rsidR="00BF4D81" w:rsidRPr="00BF4D81" w:rsidRDefault="00BF4D81" w:rsidP="00BF4D81">
      <w:pPr>
        <w:rPr>
          <w:b/>
          <w:bCs/>
          <w:lang w:val="en-US"/>
        </w:rPr>
      </w:pPr>
      <w:r w:rsidRPr="00BF4D81">
        <w:rPr>
          <w:b/>
          <w:bCs/>
          <w:lang w:val="en-US"/>
        </w:rPr>
        <w:t xml:space="preserve">Action </w:t>
      </w:r>
      <w:proofErr w:type="spellStart"/>
      <w:r w:rsidRPr="00BF4D81">
        <w:rPr>
          <w:b/>
          <w:bCs/>
          <w:lang w:val="en-US"/>
        </w:rPr>
        <w:t>programme</w:t>
      </w:r>
      <w:proofErr w:type="spellEnd"/>
    </w:p>
    <w:p w14:paraId="1302784D" w14:textId="77777777" w:rsidR="00BF4D81" w:rsidRPr="00BF4D81" w:rsidRDefault="00BF4D81" w:rsidP="00BF4D81">
      <w:pPr>
        <w:rPr>
          <w:lang w:val="en-US"/>
        </w:rPr>
      </w:pPr>
      <w:r w:rsidRPr="00BF4D81">
        <w:rPr>
          <w:lang w:val="en-US"/>
        </w:rPr>
        <w:t>By fostering pupils’ motivation and concentration, the practice of bridge will encourage autonomy and initiative, while providing an alternative approach to mastering fundamental skills.</w:t>
      </w:r>
    </w:p>
    <w:p w14:paraId="60CDCFE7" w14:textId="77777777" w:rsidR="00BF4D81" w:rsidRPr="00BF4D81" w:rsidRDefault="00BF4D81" w:rsidP="00BF4D81">
      <w:pPr>
        <w:rPr>
          <w:lang w:val="en-US"/>
        </w:rPr>
      </w:pPr>
      <w:r w:rsidRPr="00BF4D81">
        <w:rPr>
          <w:lang w:val="en-US"/>
        </w:rPr>
        <w:t>To this end, particular relevance may be found in:</w:t>
      </w:r>
    </w:p>
    <w:p w14:paraId="52ADB805" w14:textId="77777777" w:rsidR="00BF4D81" w:rsidRPr="00BF4D81" w:rsidRDefault="00BF4D81" w:rsidP="00BF4D81">
      <w:pPr>
        <w:numPr>
          <w:ilvl w:val="0"/>
          <w:numId w:val="14"/>
        </w:numPr>
        <w:rPr>
          <w:lang w:val="en-US"/>
        </w:rPr>
      </w:pPr>
      <w:r w:rsidRPr="00BF4D81">
        <w:rPr>
          <w:lang w:val="en-US"/>
        </w:rPr>
        <w:t xml:space="preserve">Arts and Cultural Education projects based on the three pillars of Arts and Cultural Education (Encounter, Practice and Knowledge), which may be eligible for funding through the collective component of the </w:t>
      </w:r>
      <w:r w:rsidRPr="00BF4D81">
        <w:rPr>
          <w:i/>
          <w:iCs/>
          <w:lang w:val="en-US"/>
        </w:rPr>
        <w:t>Pass Culture</w:t>
      </w:r>
      <w:r w:rsidRPr="00BF4D81">
        <w:rPr>
          <w:lang w:val="en-US"/>
        </w:rPr>
        <w:t xml:space="preserve"> </w:t>
      </w:r>
      <w:proofErr w:type="spellStart"/>
      <w:r w:rsidRPr="00BF4D81">
        <w:rPr>
          <w:lang w:val="en-US"/>
        </w:rPr>
        <w:t>programme</w:t>
      </w:r>
      <w:proofErr w:type="spellEnd"/>
      <w:r w:rsidRPr="00BF4D81">
        <w:rPr>
          <w:lang w:val="en-US"/>
        </w:rPr>
        <w:t>;</w:t>
      </w:r>
    </w:p>
    <w:p w14:paraId="6D796F41" w14:textId="77777777" w:rsidR="00BF4D81" w:rsidRPr="00BF4D81" w:rsidRDefault="00BF4D81" w:rsidP="00BF4D81">
      <w:pPr>
        <w:numPr>
          <w:ilvl w:val="0"/>
          <w:numId w:val="14"/>
        </w:numPr>
        <w:rPr>
          <w:lang w:val="en-US"/>
        </w:rPr>
      </w:pPr>
      <w:r w:rsidRPr="00BF4D81">
        <w:rPr>
          <w:lang w:val="en-US"/>
        </w:rPr>
        <w:t xml:space="preserve">support </w:t>
      </w:r>
      <w:proofErr w:type="spellStart"/>
      <w:r w:rsidRPr="00BF4D81">
        <w:rPr>
          <w:lang w:val="en-US"/>
        </w:rPr>
        <w:t>programmes</w:t>
      </w:r>
      <w:proofErr w:type="spellEnd"/>
      <w:r w:rsidRPr="00BF4D81">
        <w:rPr>
          <w:lang w:val="en-US"/>
        </w:rPr>
        <w:t xml:space="preserve"> (classes and workshops) that temporarily accommodate pupils at risk of disengagement or dropping out;</w:t>
      </w:r>
    </w:p>
    <w:p w14:paraId="66AE0FD7" w14:textId="4089E774" w:rsidR="00BF4D81" w:rsidRPr="00BF4D81" w:rsidRDefault="00BF4D81" w:rsidP="00BF4D81">
      <w:pPr>
        <w:numPr>
          <w:ilvl w:val="0"/>
          <w:numId w:val="14"/>
        </w:numPr>
        <w:rPr>
          <w:lang w:val="en-US"/>
        </w:rPr>
      </w:pPr>
      <w:r w:rsidRPr="00BF4D81">
        <w:rPr>
          <w:lang w:val="en-US"/>
        </w:rPr>
        <w:lastRenderedPageBreak/>
        <w:t xml:space="preserve">boarding schools, particularly Regional Adapted Education Establishments (EREA), clubs and socio-educational </w:t>
      </w:r>
      <w:proofErr w:type="spellStart"/>
      <w:r w:rsidRPr="00BF4D81">
        <w:rPr>
          <w:lang w:val="en-US"/>
        </w:rPr>
        <w:t>centres</w:t>
      </w:r>
      <w:proofErr w:type="spellEnd"/>
      <w:r w:rsidRPr="00BF4D81">
        <w:rPr>
          <w:lang w:val="en-US"/>
        </w:rPr>
        <w:t>;</w:t>
      </w:r>
    </w:p>
    <w:p w14:paraId="3EA2956E" w14:textId="77777777" w:rsidR="00BF4D81" w:rsidRPr="00BF4D81" w:rsidRDefault="00BF4D81" w:rsidP="00BF4D81">
      <w:pPr>
        <w:numPr>
          <w:ilvl w:val="0"/>
          <w:numId w:val="14"/>
        </w:numPr>
        <w:rPr>
          <w:lang w:val="en-US"/>
        </w:rPr>
      </w:pPr>
      <w:r w:rsidRPr="00BF4D81">
        <w:rPr>
          <w:lang w:val="en-US"/>
        </w:rPr>
        <w:t xml:space="preserve">educational support </w:t>
      </w:r>
      <w:proofErr w:type="spellStart"/>
      <w:r w:rsidRPr="00BF4D81">
        <w:rPr>
          <w:lang w:val="en-US"/>
        </w:rPr>
        <w:t>programmes</w:t>
      </w:r>
      <w:proofErr w:type="spellEnd"/>
      <w:r w:rsidRPr="00BF4D81">
        <w:rPr>
          <w:lang w:val="en-US"/>
        </w:rPr>
        <w:t xml:space="preserve"> providing voluntary after-school activities in primary schools and lower secondary schools within priority education areas, helping pupils with their schoolwork while offering broader cultural and sporting opportunities;</w:t>
      </w:r>
    </w:p>
    <w:p w14:paraId="7E4B6D21" w14:textId="77777777" w:rsidR="00BF4D81" w:rsidRPr="00BF4D81" w:rsidRDefault="00BF4D81" w:rsidP="00BF4D81">
      <w:pPr>
        <w:numPr>
          <w:ilvl w:val="0"/>
          <w:numId w:val="14"/>
        </w:numPr>
        <w:rPr>
          <w:lang w:val="en-US"/>
        </w:rPr>
      </w:pPr>
      <w:r w:rsidRPr="00BF4D81">
        <w:rPr>
          <w:lang w:val="en-US"/>
        </w:rPr>
        <w:t xml:space="preserve">the </w:t>
      </w:r>
      <w:r w:rsidRPr="00BF4D81">
        <w:rPr>
          <w:i/>
          <w:iCs/>
          <w:lang w:val="en-US"/>
        </w:rPr>
        <w:t>Open School</w:t>
      </w:r>
      <w:r w:rsidRPr="00BF4D81">
        <w:rPr>
          <w:lang w:val="en-US"/>
        </w:rPr>
        <w:t xml:space="preserve"> </w:t>
      </w:r>
      <w:proofErr w:type="spellStart"/>
      <w:r w:rsidRPr="00BF4D81">
        <w:rPr>
          <w:lang w:val="en-US"/>
        </w:rPr>
        <w:t>programme</w:t>
      </w:r>
      <w:proofErr w:type="spellEnd"/>
      <w:r w:rsidRPr="00BF4D81">
        <w:rPr>
          <w:lang w:val="en-US"/>
        </w:rPr>
        <w:t>, which welcomes young people into public secondary schools during school holidays and offers educational leisure activities;</w:t>
      </w:r>
    </w:p>
    <w:p w14:paraId="2EA698D4" w14:textId="77777777" w:rsidR="00BF4D81" w:rsidRPr="00BF4D81" w:rsidRDefault="00BF4D81" w:rsidP="00BF4D81">
      <w:pPr>
        <w:numPr>
          <w:ilvl w:val="0"/>
          <w:numId w:val="14"/>
        </w:numPr>
        <w:rPr>
          <w:lang w:val="en-US"/>
        </w:rPr>
      </w:pPr>
      <w:r w:rsidRPr="00BF4D81">
        <w:rPr>
          <w:lang w:val="en-US"/>
        </w:rPr>
        <w:t>extracurricular educational activities implemented through the Wednesday Plan (</w:t>
      </w:r>
      <w:r w:rsidRPr="00BF4D81">
        <w:rPr>
          <w:i/>
          <w:iCs/>
          <w:lang w:val="en-US"/>
        </w:rPr>
        <w:t>Plan Mercredi</w:t>
      </w:r>
      <w:r w:rsidRPr="00BF4D81">
        <w:rPr>
          <w:lang w:val="en-US"/>
        </w:rPr>
        <w:t>) and included within the Territorial Educational Project (PEDT).</w:t>
      </w:r>
    </w:p>
    <w:p w14:paraId="3C1EABBC" w14:textId="77777777" w:rsidR="00BF4D81" w:rsidRDefault="00BF4D81" w:rsidP="00BF4D81"/>
    <w:p w14:paraId="1FFC2B52" w14:textId="7F42AE1E" w:rsidR="00BF4D81" w:rsidRPr="00BF4D81" w:rsidRDefault="00BF4D81" w:rsidP="00BF4D81">
      <w:pPr>
        <w:rPr>
          <w:b/>
          <w:bCs/>
          <w:lang w:val="en-US"/>
        </w:rPr>
      </w:pPr>
      <w:r w:rsidRPr="00BF4D81">
        <w:rPr>
          <w:b/>
          <w:bCs/>
          <w:lang w:val="en-US"/>
        </w:rPr>
        <w:t>ARTICLE 3 – COMMITMENTS OF THE FFB</w:t>
      </w:r>
    </w:p>
    <w:p w14:paraId="2816AA5A" w14:textId="77777777" w:rsidR="00BF4D81" w:rsidRPr="00BF4D81" w:rsidRDefault="00BF4D81" w:rsidP="00BF4D81">
      <w:pPr>
        <w:rPr>
          <w:lang w:val="en-US"/>
        </w:rPr>
      </w:pPr>
      <w:r w:rsidRPr="00BF4D81">
        <w:rPr>
          <w:lang w:val="en-US"/>
        </w:rPr>
        <w:t xml:space="preserve">The FFB undertakes </w:t>
      </w:r>
      <w:proofErr w:type="gramStart"/>
      <w:r w:rsidRPr="00BF4D81">
        <w:rPr>
          <w:lang w:val="en-US"/>
        </w:rPr>
        <w:t>to</w:t>
      </w:r>
      <w:proofErr w:type="gramEnd"/>
      <w:r w:rsidRPr="00BF4D81">
        <w:rPr>
          <w:lang w:val="en-US"/>
        </w:rPr>
        <w:t>:</w:t>
      </w:r>
    </w:p>
    <w:p w14:paraId="08921611" w14:textId="77777777" w:rsidR="00BF4D81" w:rsidRPr="00BF4D81" w:rsidRDefault="00BF4D81" w:rsidP="00BF4D81">
      <w:pPr>
        <w:numPr>
          <w:ilvl w:val="0"/>
          <w:numId w:val="15"/>
        </w:numPr>
        <w:rPr>
          <w:lang w:val="en-US"/>
        </w:rPr>
      </w:pPr>
      <w:r w:rsidRPr="00BF4D81">
        <w:rPr>
          <w:lang w:val="en-US"/>
        </w:rPr>
        <w:t>support the development of bridge activities within schools across the French education authorities;</w:t>
      </w:r>
    </w:p>
    <w:p w14:paraId="676535B5" w14:textId="77777777" w:rsidR="00BF4D81" w:rsidRPr="00BF4D81" w:rsidRDefault="00BF4D81" w:rsidP="00BF4D81">
      <w:pPr>
        <w:numPr>
          <w:ilvl w:val="0"/>
          <w:numId w:val="15"/>
        </w:numPr>
        <w:rPr>
          <w:lang w:val="en-US"/>
        </w:rPr>
      </w:pPr>
      <w:r w:rsidRPr="00BF4D81">
        <w:rPr>
          <w:lang w:val="en-US"/>
        </w:rPr>
        <w:t xml:space="preserve">reaffirm the priority given to school </w:t>
      </w:r>
      <w:proofErr w:type="gramStart"/>
      <w:r w:rsidRPr="00BF4D81">
        <w:rPr>
          <w:lang w:val="en-US"/>
        </w:rPr>
        <w:t>bridge</w:t>
      </w:r>
      <w:proofErr w:type="gramEnd"/>
      <w:r w:rsidRPr="00BF4D81">
        <w:rPr>
          <w:lang w:val="en-US"/>
        </w:rPr>
        <w:t xml:space="preserve"> among its departmental and regional committees and affiliated clubs;</w:t>
      </w:r>
    </w:p>
    <w:p w14:paraId="30CA4F0D" w14:textId="77777777" w:rsidR="00BF4D81" w:rsidRPr="00BF4D81" w:rsidRDefault="00BF4D81" w:rsidP="00BF4D81">
      <w:pPr>
        <w:numPr>
          <w:ilvl w:val="0"/>
          <w:numId w:val="15"/>
        </w:numPr>
        <w:rPr>
          <w:lang w:val="en-US"/>
        </w:rPr>
      </w:pPr>
      <w:r w:rsidRPr="00BF4D81">
        <w:rPr>
          <w:lang w:val="en-US"/>
        </w:rPr>
        <w:t>provide schools requesting assistance with equipment and resources (publications, educational materials, etc.);</w:t>
      </w:r>
    </w:p>
    <w:p w14:paraId="5C476795" w14:textId="071C1D4C" w:rsidR="00BF4D81" w:rsidRPr="00BF4D81" w:rsidRDefault="00BF4D81" w:rsidP="00BF4D81">
      <w:pPr>
        <w:numPr>
          <w:ilvl w:val="0"/>
          <w:numId w:val="15"/>
        </w:numPr>
        <w:rPr>
          <w:lang w:val="en-US"/>
        </w:rPr>
      </w:pPr>
      <w:r w:rsidRPr="00BF4D81">
        <w:rPr>
          <w:lang w:val="en-US"/>
        </w:rPr>
        <w:t>connect interested local education districts with an FFB departmental or regional school representative;</w:t>
      </w:r>
    </w:p>
    <w:p w14:paraId="3A5DB25F" w14:textId="77777777" w:rsidR="00BF4D81" w:rsidRPr="00BF4D81" w:rsidRDefault="00BF4D81" w:rsidP="00BF4D81">
      <w:pPr>
        <w:numPr>
          <w:ilvl w:val="0"/>
          <w:numId w:val="15"/>
        </w:numPr>
        <w:rPr>
          <w:lang w:val="en-US"/>
        </w:rPr>
      </w:pPr>
      <w:r w:rsidRPr="00BF4D81">
        <w:rPr>
          <w:lang w:val="en-US"/>
        </w:rPr>
        <w:t xml:space="preserve">link each </w:t>
      </w:r>
      <w:proofErr w:type="gramStart"/>
      <w:r w:rsidRPr="00BF4D81">
        <w:rPr>
          <w:lang w:val="en-US"/>
        </w:rPr>
        <w:t>requesting</w:t>
      </w:r>
      <w:proofErr w:type="gramEnd"/>
      <w:r w:rsidRPr="00BF4D81">
        <w:rPr>
          <w:lang w:val="en-US"/>
        </w:rPr>
        <w:t xml:space="preserve"> educational establishment with a club or regional committee </w:t>
      </w:r>
      <w:proofErr w:type="gramStart"/>
      <w:r w:rsidRPr="00BF4D81">
        <w:rPr>
          <w:lang w:val="en-US"/>
        </w:rPr>
        <w:t>in order to</w:t>
      </w:r>
      <w:proofErr w:type="gramEnd"/>
      <w:r w:rsidRPr="00BF4D81">
        <w:rPr>
          <w:lang w:val="en-US"/>
        </w:rPr>
        <w:t xml:space="preserve"> develop local partnerships;</w:t>
      </w:r>
    </w:p>
    <w:p w14:paraId="3790A7ED" w14:textId="77777777" w:rsidR="00BF4D81" w:rsidRPr="00BF4D81" w:rsidRDefault="00BF4D81" w:rsidP="00BF4D81">
      <w:pPr>
        <w:numPr>
          <w:ilvl w:val="0"/>
          <w:numId w:val="15"/>
        </w:numPr>
        <w:rPr>
          <w:lang w:val="en-US"/>
        </w:rPr>
      </w:pPr>
      <w:proofErr w:type="spellStart"/>
      <w:r w:rsidRPr="00BF4D81">
        <w:rPr>
          <w:lang w:val="en-US"/>
        </w:rPr>
        <w:t>organise</w:t>
      </w:r>
      <w:proofErr w:type="spellEnd"/>
      <w:r w:rsidRPr="00BF4D81">
        <w:rPr>
          <w:lang w:val="en-US"/>
        </w:rPr>
        <w:t xml:space="preserve"> school tournaments and championships;</w:t>
      </w:r>
    </w:p>
    <w:p w14:paraId="4386F887" w14:textId="77777777" w:rsidR="00BF4D81" w:rsidRPr="00BF4D81" w:rsidRDefault="00BF4D81" w:rsidP="00BF4D81">
      <w:pPr>
        <w:numPr>
          <w:ilvl w:val="0"/>
          <w:numId w:val="15"/>
        </w:numPr>
        <w:rPr>
          <w:lang w:val="en-US"/>
        </w:rPr>
      </w:pPr>
      <w:r w:rsidRPr="00BF4D81">
        <w:rPr>
          <w:lang w:val="en-US"/>
        </w:rPr>
        <w:t>conduct awareness-raising and training activities within schools through qualified FFB personnel and its regional structures, while respecting national curricula and the pedagogical responsibility of teachers, and support teachers wishing to develop bridge activities in schools;</w:t>
      </w:r>
    </w:p>
    <w:p w14:paraId="2BF92D2F" w14:textId="77777777" w:rsidR="00BF4D81" w:rsidRPr="00BF4D81" w:rsidRDefault="00BF4D81" w:rsidP="00BF4D81">
      <w:pPr>
        <w:numPr>
          <w:ilvl w:val="0"/>
          <w:numId w:val="15"/>
        </w:numPr>
        <w:rPr>
          <w:lang w:val="en-US"/>
        </w:rPr>
      </w:pPr>
      <w:r w:rsidRPr="00BF4D81">
        <w:rPr>
          <w:lang w:val="en-US"/>
        </w:rPr>
        <w:t>include within the training of certified FFB instructors the specific requirements of bridge in educational settings;</w:t>
      </w:r>
    </w:p>
    <w:p w14:paraId="11472B42" w14:textId="7B311B5E" w:rsidR="00BF4D81" w:rsidRPr="00BF4D81" w:rsidRDefault="00BF4D81" w:rsidP="00BF4D81">
      <w:pPr>
        <w:numPr>
          <w:ilvl w:val="0"/>
          <w:numId w:val="15"/>
        </w:numPr>
        <w:rPr>
          <w:lang w:val="en-US"/>
        </w:rPr>
      </w:pPr>
      <w:proofErr w:type="gramStart"/>
      <w:r w:rsidRPr="00BF4D81">
        <w:rPr>
          <w:lang w:val="en-US"/>
        </w:rPr>
        <w:t>inform</w:t>
      </w:r>
      <w:proofErr w:type="gramEnd"/>
      <w:r w:rsidRPr="00BF4D81">
        <w:rPr>
          <w:lang w:val="en-US"/>
        </w:rPr>
        <w:t xml:space="preserve"> every partner school or educational establishment of the requirement to register its activities </w:t>
      </w:r>
      <w:proofErr w:type="gramStart"/>
      <w:r w:rsidRPr="00BF4D81">
        <w:rPr>
          <w:lang w:val="en-US"/>
        </w:rPr>
        <w:t>in</w:t>
      </w:r>
      <w:proofErr w:type="gramEnd"/>
      <w:r w:rsidRPr="00BF4D81">
        <w:rPr>
          <w:lang w:val="en-US"/>
        </w:rPr>
        <w:t xml:space="preserve"> the ADAGE platform. This registration must appear in the </w:t>
      </w:r>
      <w:r w:rsidRPr="008A345C">
        <w:rPr>
          <w:lang w:val="en-US"/>
        </w:rPr>
        <w:t>"Registration" section</w:t>
      </w:r>
      <w:r w:rsidRPr="00BF4D81">
        <w:rPr>
          <w:lang w:val="en-US"/>
        </w:rPr>
        <w:t xml:space="preserve"> of the platform and is necessary for quantitative </w:t>
      </w:r>
      <w:r w:rsidRPr="00BF4D81">
        <w:rPr>
          <w:lang w:val="en-US"/>
        </w:rPr>
        <w:lastRenderedPageBreak/>
        <w:t xml:space="preserve">and qualitative monitoring and for the continued development of the </w:t>
      </w:r>
      <w:proofErr w:type="spellStart"/>
      <w:r w:rsidRPr="00BF4D81">
        <w:rPr>
          <w:lang w:val="en-US"/>
        </w:rPr>
        <w:t>programme</w:t>
      </w:r>
      <w:proofErr w:type="spellEnd"/>
      <w:r w:rsidRPr="00BF4D81">
        <w:rPr>
          <w:lang w:val="en-US"/>
        </w:rPr>
        <w:t>.</w:t>
      </w:r>
    </w:p>
    <w:p w14:paraId="72534BE1" w14:textId="77777777" w:rsidR="00BF4D81" w:rsidRPr="00BF4D81" w:rsidRDefault="00BF4D81" w:rsidP="00BF4D81">
      <w:pPr>
        <w:rPr>
          <w:lang w:val="en-US"/>
        </w:rPr>
      </w:pPr>
      <w:r w:rsidRPr="00BF4D81">
        <w:rPr>
          <w:lang w:val="en-US"/>
        </w:rPr>
        <w:t xml:space="preserve">Furthermore, </w:t>
      </w:r>
      <w:proofErr w:type="gramStart"/>
      <w:r w:rsidRPr="00BF4D81">
        <w:rPr>
          <w:lang w:val="en-US"/>
        </w:rPr>
        <w:t>in order to</w:t>
      </w:r>
      <w:proofErr w:type="gramEnd"/>
      <w:r w:rsidRPr="00BF4D81">
        <w:rPr>
          <w:lang w:val="en-US"/>
        </w:rPr>
        <w:t xml:space="preserve"> develop and deepen educational practices linked to bridge in schools, the FFB undertakes to:</w:t>
      </w:r>
    </w:p>
    <w:p w14:paraId="0092ECD4" w14:textId="77777777" w:rsidR="00BF4D81" w:rsidRPr="00BF4D81" w:rsidRDefault="00BF4D81" w:rsidP="00BF4D81">
      <w:pPr>
        <w:numPr>
          <w:ilvl w:val="0"/>
          <w:numId w:val="16"/>
        </w:numPr>
        <w:rPr>
          <w:lang w:val="en-US"/>
        </w:rPr>
      </w:pPr>
      <w:r w:rsidRPr="00BF4D81">
        <w:rPr>
          <w:lang w:val="en-US"/>
        </w:rPr>
        <w:t>prepare and disseminate documents promoting the educational use of bridge;</w:t>
      </w:r>
    </w:p>
    <w:p w14:paraId="1F943EAF" w14:textId="77777777" w:rsidR="00BF4D81" w:rsidRDefault="00BF4D81" w:rsidP="00BF4D81">
      <w:pPr>
        <w:numPr>
          <w:ilvl w:val="0"/>
          <w:numId w:val="16"/>
        </w:numPr>
        <w:rPr>
          <w:lang w:val="en-US"/>
        </w:rPr>
      </w:pPr>
      <w:r w:rsidRPr="00BF4D81">
        <w:rPr>
          <w:lang w:val="en-US"/>
        </w:rPr>
        <w:t xml:space="preserve">provide training for key resource </w:t>
      </w:r>
      <w:proofErr w:type="gramStart"/>
      <w:r w:rsidRPr="00BF4D81">
        <w:rPr>
          <w:lang w:val="en-US"/>
        </w:rPr>
        <w:t>persons</w:t>
      </w:r>
      <w:proofErr w:type="gramEnd"/>
      <w:r w:rsidRPr="00BF4D81">
        <w:rPr>
          <w:lang w:val="en-US"/>
        </w:rPr>
        <w:t xml:space="preserve"> (teachers, educational advisers, etc.) to support the long-term development of bridge within schools, with particular attention given to staff working in priority education establishments and vocational upper secondary schools.</w:t>
      </w:r>
    </w:p>
    <w:p w14:paraId="788394BD" w14:textId="77777777" w:rsidR="00BF4D81" w:rsidRPr="00BF4D81" w:rsidRDefault="00BF4D81" w:rsidP="00BF4D81">
      <w:pPr>
        <w:ind w:left="720"/>
        <w:rPr>
          <w:lang w:val="en-US"/>
        </w:rPr>
      </w:pPr>
    </w:p>
    <w:p w14:paraId="5C488AF6" w14:textId="77777777" w:rsidR="00BF4D81" w:rsidRPr="00BF4D81" w:rsidRDefault="00BF4D81" w:rsidP="00BF4D81">
      <w:pPr>
        <w:rPr>
          <w:b/>
          <w:bCs/>
          <w:lang w:val="en-US"/>
        </w:rPr>
      </w:pPr>
      <w:r w:rsidRPr="00BF4D81">
        <w:rPr>
          <w:b/>
          <w:bCs/>
          <w:lang w:val="en-US"/>
        </w:rPr>
        <w:t>ARTICLE 4 – COMMITMENTS OF THE MINISTRY</w:t>
      </w:r>
    </w:p>
    <w:p w14:paraId="6607D3CF" w14:textId="77777777" w:rsidR="00BF4D81" w:rsidRPr="00BF4D81" w:rsidRDefault="00BF4D81" w:rsidP="00BF4D81">
      <w:pPr>
        <w:rPr>
          <w:lang w:val="en-US"/>
        </w:rPr>
      </w:pPr>
      <w:r w:rsidRPr="00BF4D81">
        <w:rPr>
          <w:lang w:val="en-US"/>
        </w:rPr>
        <w:t xml:space="preserve">MENJS undertakes </w:t>
      </w:r>
      <w:proofErr w:type="gramStart"/>
      <w:r w:rsidRPr="00BF4D81">
        <w:rPr>
          <w:lang w:val="en-US"/>
        </w:rPr>
        <w:t>to</w:t>
      </w:r>
      <w:proofErr w:type="gramEnd"/>
      <w:r w:rsidRPr="00BF4D81">
        <w:rPr>
          <w:lang w:val="en-US"/>
        </w:rPr>
        <w:t>:</w:t>
      </w:r>
    </w:p>
    <w:p w14:paraId="5555A13C" w14:textId="77777777" w:rsidR="00BF4D81" w:rsidRPr="00BF4D81" w:rsidRDefault="00BF4D81" w:rsidP="00BF4D81">
      <w:pPr>
        <w:numPr>
          <w:ilvl w:val="0"/>
          <w:numId w:val="17"/>
        </w:numPr>
        <w:rPr>
          <w:lang w:val="en-US"/>
        </w:rPr>
      </w:pPr>
      <w:r w:rsidRPr="00BF4D81">
        <w:rPr>
          <w:lang w:val="en-US"/>
        </w:rPr>
        <w:t>raise awareness among the relevant education authorities (</w:t>
      </w:r>
      <w:proofErr w:type="spellStart"/>
      <w:r w:rsidRPr="00BF4D81">
        <w:rPr>
          <w:i/>
          <w:iCs/>
          <w:lang w:val="en-US"/>
        </w:rPr>
        <w:t>académies</w:t>
      </w:r>
      <w:proofErr w:type="spellEnd"/>
      <w:r w:rsidRPr="00BF4D81">
        <w:rPr>
          <w:lang w:val="en-US"/>
        </w:rPr>
        <w:t xml:space="preserve">), and </w:t>
      </w:r>
      <w:proofErr w:type="gramStart"/>
      <w:r w:rsidRPr="00BF4D81">
        <w:rPr>
          <w:lang w:val="en-US"/>
        </w:rPr>
        <w:t>in particular encourage</w:t>
      </w:r>
      <w:proofErr w:type="gramEnd"/>
      <w:r w:rsidRPr="00BF4D81">
        <w:rPr>
          <w:lang w:val="en-US"/>
        </w:rPr>
        <w:t xml:space="preserve"> them to include within their academic training plans the training </w:t>
      </w:r>
      <w:proofErr w:type="spellStart"/>
      <w:r w:rsidRPr="00BF4D81">
        <w:rPr>
          <w:lang w:val="en-US"/>
        </w:rPr>
        <w:t>programmes</w:t>
      </w:r>
      <w:proofErr w:type="spellEnd"/>
      <w:r w:rsidRPr="00BF4D81">
        <w:rPr>
          <w:lang w:val="en-US"/>
        </w:rPr>
        <w:t xml:space="preserve"> proposed by the Federation;</w:t>
      </w:r>
    </w:p>
    <w:p w14:paraId="5117705C" w14:textId="77777777" w:rsidR="00BF4D81" w:rsidRPr="00BF4D81" w:rsidRDefault="00BF4D81" w:rsidP="00BF4D81">
      <w:pPr>
        <w:numPr>
          <w:ilvl w:val="0"/>
          <w:numId w:val="17"/>
        </w:numPr>
        <w:rPr>
          <w:lang w:val="en-US"/>
        </w:rPr>
      </w:pPr>
      <w:r w:rsidRPr="00BF4D81">
        <w:rPr>
          <w:lang w:val="en-US"/>
        </w:rPr>
        <w:t xml:space="preserve">provide, where necessary, its expertise in the implementation and monitoring of actions, particularly through </w:t>
      </w:r>
      <w:proofErr w:type="gramStart"/>
      <w:r w:rsidRPr="00BF4D81">
        <w:rPr>
          <w:lang w:val="en-US"/>
        </w:rPr>
        <w:t>its</w:t>
      </w:r>
      <w:proofErr w:type="gramEnd"/>
      <w:r w:rsidRPr="00BF4D81">
        <w:rPr>
          <w:lang w:val="en-US"/>
        </w:rPr>
        <w:t xml:space="preserve"> regional and local services;</w:t>
      </w:r>
    </w:p>
    <w:p w14:paraId="0B3E530A" w14:textId="77777777" w:rsidR="00BF4D81" w:rsidRPr="00BF4D81" w:rsidRDefault="00BF4D81" w:rsidP="00BF4D81">
      <w:pPr>
        <w:numPr>
          <w:ilvl w:val="0"/>
          <w:numId w:val="17"/>
        </w:numPr>
        <w:rPr>
          <w:lang w:val="en-US"/>
        </w:rPr>
      </w:pPr>
      <w:proofErr w:type="spellStart"/>
      <w:r w:rsidRPr="00BF4D81">
        <w:rPr>
          <w:lang w:val="en-US"/>
        </w:rPr>
        <w:t>authorise</w:t>
      </w:r>
      <w:proofErr w:type="spellEnd"/>
      <w:r w:rsidRPr="00BF4D81">
        <w:rPr>
          <w:lang w:val="en-US"/>
        </w:rPr>
        <w:t xml:space="preserve"> the use of the Ministry’s logo on the Federation’s communication materials, subject to prior approval of such materials;</w:t>
      </w:r>
    </w:p>
    <w:p w14:paraId="71046366" w14:textId="77777777" w:rsidR="00BF4D81" w:rsidRPr="00BF4D81" w:rsidRDefault="00BF4D81" w:rsidP="00BF4D81">
      <w:pPr>
        <w:numPr>
          <w:ilvl w:val="0"/>
          <w:numId w:val="17"/>
        </w:numPr>
        <w:rPr>
          <w:lang w:val="en-US"/>
        </w:rPr>
      </w:pPr>
      <w:r w:rsidRPr="00BF4D81">
        <w:rPr>
          <w:lang w:val="en-US"/>
        </w:rPr>
        <w:t>disseminate information provided by the Federation throughout its networks, notably through its websites (</w:t>
      </w:r>
      <w:r w:rsidRPr="00BF4D81">
        <w:rPr>
          <w:i/>
          <w:iCs/>
          <w:lang w:val="en-US"/>
        </w:rPr>
        <w:t>Eduscol.fr</w:t>
      </w:r>
      <w:r w:rsidRPr="00BF4D81">
        <w:rPr>
          <w:lang w:val="en-US"/>
        </w:rPr>
        <w:t xml:space="preserve"> and </w:t>
      </w:r>
      <w:r w:rsidRPr="00BF4D81">
        <w:rPr>
          <w:i/>
          <w:iCs/>
          <w:lang w:val="en-US"/>
        </w:rPr>
        <w:t>Education.gouv.fr</w:t>
      </w:r>
      <w:r w:rsidRPr="00BF4D81">
        <w:rPr>
          <w:lang w:val="en-US"/>
        </w:rPr>
        <w:t>) and through communications linked to specific initiatives;</w:t>
      </w:r>
    </w:p>
    <w:p w14:paraId="506625CF" w14:textId="77777777" w:rsidR="00BF4D81" w:rsidRPr="00BF4D81" w:rsidRDefault="00BF4D81" w:rsidP="00BF4D81">
      <w:pPr>
        <w:numPr>
          <w:ilvl w:val="0"/>
          <w:numId w:val="17"/>
        </w:numPr>
        <w:rPr>
          <w:lang w:val="en-US"/>
        </w:rPr>
      </w:pPr>
      <w:r w:rsidRPr="00BF4D81">
        <w:rPr>
          <w:lang w:val="en-US"/>
        </w:rPr>
        <w:t>raise awareness among education authorities through the network of Academic Correspondents for Science and Technology (CAST) and Academic Delegates for Arts and Culture (DAAC</w:t>
      </w:r>
      <w:proofErr w:type="gramStart"/>
      <w:r w:rsidRPr="00BF4D81">
        <w:rPr>
          <w:lang w:val="en-US"/>
        </w:rPr>
        <w:t>), and</w:t>
      </w:r>
      <w:proofErr w:type="gramEnd"/>
      <w:r w:rsidRPr="00BF4D81">
        <w:rPr>
          <w:lang w:val="en-US"/>
        </w:rPr>
        <w:t xml:space="preserve"> thereby facilitate the monitoring of actions undertaken at local level.</w:t>
      </w:r>
    </w:p>
    <w:p w14:paraId="475504AD" w14:textId="77777777" w:rsidR="00BF4D81" w:rsidRDefault="00BF4D81" w:rsidP="00BF4D81"/>
    <w:p w14:paraId="1FB97709" w14:textId="7C2F8D84" w:rsidR="00BF4D81" w:rsidRPr="00BF4D81" w:rsidRDefault="00BF4D81" w:rsidP="00BF4D81">
      <w:pPr>
        <w:rPr>
          <w:b/>
          <w:bCs/>
          <w:lang w:val="en-US"/>
        </w:rPr>
      </w:pPr>
      <w:r w:rsidRPr="00BF4D81">
        <w:rPr>
          <w:b/>
          <w:bCs/>
          <w:lang w:val="en-US"/>
        </w:rPr>
        <w:t>ARTICLE 5 – MONITORING OF ACTIONS</w:t>
      </w:r>
    </w:p>
    <w:p w14:paraId="2918493F" w14:textId="77777777" w:rsidR="00BF4D81" w:rsidRPr="00BF4D81" w:rsidRDefault="00BF4D81" w:rsidP="00BF4D81">
      <w:pPr>
        <w:rPr>
          <w:lang w:val="en-US"/>
        </w:rPr>
      </w:pPr>
      <w:r w:rsidRPr="00BF4D81">
        <w:rPr>
          <w:lang w:val="en-US"/>
        </w:rPr>
        <w:t xml:space="preserve">The FFB undertakes </w:t>
      </w:r>
      <w:proofErr w:type="gramStart"/>
      <w:r w:rsidRPr="00BF4D81">
        <w:rPr>
          <w:lang w:val="en-US"/>
        </w:rPr>
        <w:t>to</w:t>
      </w:r>
      <w:proofErr w:type="gramEnd"/>
      <w:r w:rsidRPr="00BF4D81">
        <w:rPr>
          <w:lang w:val="en-US"/>
        </w:rPr>
        <w:t>:</w:t>
      </w:r>
    </w:p>
    <w:p w14:paraId="23BEB979" w14:textId="77777777" w:rsidR="00BF4D81" w:rsidRPr="00BF4D81" w:rsidRDefault="00BF4D81" w:rsidP="00BF4D81">
      <w:pPr>
        <w:numPr>
          <w:ilvl w:val="0"/>
          <w:numId w:val="18"/>
        </w:numPr>
        <w:rPr>
          <w:lang w:val="en-US"/>
        </w:rPr>
      </w:pPr>
      <w:r w:rsidRPr="00BF4D81">
        <w:rPr>
          <w:lang w:val="en-US"/>
        </w:rPr>
        <w:t xml:space="preserve">report experience, information and evaluation data relating to the introduction of bridge within National Education </w:t>
      </w:r>
      <w:proofErr w:type="spellStart"/>
      <w:r w:rsidRPr="00BF4D81">
        <w:rPr>
          <w:lang w:val="en-US"/>
        </w:rPr>
        <w:t>programmes</w:t>
      </w:r>
      <w:proofErr w:type="spellEnd"/>
      <w:r w:rsidRPr="00BF4D81">
        <w:rPr>
          <w:lang w:val="en-US"/>
        </w:rPr>
        <w:t>;</w:t>
      </w:r>
    </w:p>
    <w:p w14:paraId="66DE2AA6" w14:textId="77777777" w:rsidR="00BF4D81" w:rsidRPr="00BF4D81" w:rsidRDefault="00BF4D81" w:rsidP="00BF4D81">
      <w:pPr>
        <w:numPr>
          <w:ilvl w:val="0"/>
          <w:numId w:val="18"/>
        </w:numPr>
        <w:rPr>
          <w:lang w:val="en-US"/>
        </w:rPr>
      </w:pPr>
      <w:r w:rsidRPr="00BF4D81">
        <w:rPr>
          <w:lang w:val="en-US"/>
        </w:rPr>
        <w:t xml:space="preserve">submit to the Ministry responsible for National Education an annual report on the actions undertaken. This report </w:t>
      </w:r>
      <w:proofErr w:type="gramStart"/>
      <w:r w:rsidRPr="00BF4D81">
        <w:rPr>
          <w:lang w:val="en-US"/>
        </w:rPr>
        <w:t>shall</w:t>
      </w:r>
      <w:proofErr w:type="gramEnd"/>
      <w:r w:rsidRPr="00BF4D81">
        <w:rPr>
          <w:lang w:val="en-US"/>
        </w:rPr>
        <w:t xml:space="preserve"> be addressed to the Directorate General for School Education (DGESCO).</w:t>
      </w:r>
    </w:p>
    <w:p w14:paraId="74171E62" w14:textId="77777777" w:rsidR="00BF4D81" w:rsidRPr="00BF4D81" w:rsidRDefault="00BF4D81" w:rsidP="00BF4D81">
      <w:pPr>
        <w:rPr>
          <w:lang w:val="en-US"/>
        </w:rPr>
      </w:pPr>
      <w:r w:rsidRPr="00BF4D81">
        <w:rPr>
          <w:lang w:val="en-US"/>
        </w:rPr>
        <w:lastRenderedPageBreak/>
        <w:t xml:space="preserve">A monitoring committee shall be responsible for coordinating, monitoring and evaluating the implementation of this agreement. Each year, the committee shall assess the projects implemented, particularly their compliance with the action </w:t>
      </w:r>
      <w:proofErr w:type="spellStart"/>
      <w:r w:rsidRPr="00BF4D81">
        <w:rPr>
          <w:lang w:val="en-US"/>
        </w:rPr>
        <w:t>programme</w:t>
      </w:r>
      <w:proofErr w:type="spellEnd"/>
      <w:r w:rsidRPr="00BF4D81">
        <w:rPr>
          <w:lang w:val="en-US"/>
        </w:rPr>
        <w:t xml:space="preserve"> defined in Article 2. It shall meet at least once a year, </w:t>
      </w:r>
      <w:proofErr w:type="gramStart"/>
      <w:r w:rsidRPr="00BF4D81">
        <w:rPr>
          <w:lang w:val="en-US"/>
        </w:rPr>
        <w:t>at</w:t>
      </w:r>
      <w:proofErr w:type="gramEnd"/>
      <w:r w:rsidRPr="00BF4D81">
        <w:rPr>
          <w:lang w:val="en-US"/>
        </w:rPr>
        <w:t xml:space="preserve"> the initiative of either Party.</w:t>
      </w:r>
    </w:p>
    <w:p w14:paraId="35F58E03" w14:textId="77777777" w:rsidR="00BF4D81" w:rsidRPr="00BF4D81" w:rsidRDefault="00BF4D81" w:rsidP="00BF4D81">
      <w:pPr>
        <w:rPr>
          <w:lang w:val="en-US"/>
        </w:rPr>
      </w:pPr>
      <w:r w:rsidRPr="00BF4D81">
        <w:rPr>
          <w:lang w:val="en-US"/>
        </w:rPr>
        <w:t xml:space="preserve">Each year, an annex specifying the </w:t>
      </w:r>
      <w:proofErr w:type="spellStart"/>
      <w:r w:rsidRPr="00BF4D81">
        <w:rPr>
          <w:lang w:val="en-US"/>
        </w:rPr>
        <w:t>programme</w:t>
      </w:r>
      <w:proofErr w:type="spellEnd"/>
      <w:r w:rsidRPr="00BF4D81">
        <w:rPr>
          <w:lang w:val="en-US"/>
        </w:rPr>
        <w:t xml:space="preserve"> of actions undertaken by the FFB in schools shall be attached to this agreement.</w:t>
      </w:r>
    </w:p>
    <w:p w14:paraId="2855DF09" w14:textId="77777777" w:rsidR="00BF4D81" w:rsidRPr="00BF4D81" w:rsidRDefault="00BF4D81" w:rsidP="00BF4D81">
      <w:pPr>
        <w:rPr>
          <w:lang w:val="en-US"/>
        </w:rPr>
      </w:pPr>
      <w:r w:rsidRPr="00BF4D81">
        <w:rPr>
          <w:lang w:val="en-US"/>
        </w:rPr>
        <w:t xml:space="preserve">The monitoring committee shall also consider appropriate training content and the </w:t>
      </w:r>
      <w:proofErr w:type="gramStart"/>
      <w:r w:rsidRPr="00BF4D81">
        <w:rPr>
          <w:lang w:val="en-US"/>
        </w:rPr>
        <w:t>supporting</w:t>
      </w:r>
      <w:proofErr w:type="gramEnd"/>
      <w:r w:rsidRPr="00BF4D81">
        <w:rPr>
          <w:lang w:val="en-US"/>
        </w:rPr>
        <w:t xml:space="preserve"> materials required by teachers and FFB personnel. It shall make recommendations intended to guide actions at national and regional level and to facilitate the sharing of field experience.</w:t>
      </w:r>
    </w:p>
    <w:p w14:paraId="015A1CDD" w14:textId="77777777" w:rsidR="00BF4D81" w:rsidRPr="00BF4D81" w:rsidRDefault="00BF4D81" w:rsidP="00BF4D81">
      <w:pPr>
        <w:rPr>
          <w:lang w:val="en-US"/>
        </w:rPr>
      </w:pPr>
      <w:r w:rsidRPr="00BF4D81">
        <w:rPr>
          <w:lang w:val="en-US"/>
        </w:rPr>
        <w:t>The monitoring committee shall be chaired by the Director General for School Education or his/her representative. It shall comprise one member of DGESCO appointed by the Director General, the President of the FFB or his/her representative. Representatives of MENJS, the FFB or external experts may be invited to participate in the committee, subject to the agreement of both Parties.</w:t>
      </w:r>
    </w:p>
    <w:p w14:paraId="575B5995" w14:textId="77777777" w:rsidR="00BF4D81" w:rsidRDefault="00BF4D81" w:rsidP="00BF4D81"/>
    <w:p w14:paraId="3FCE4FB5" w14:textId="3DA75457" w:rsidR="00BF4D81" w:rsidRPr="00BF4D81" w:rsidRDefault="00BF4D81" w:rsidP="00BF4D81">
      <w:pPr>
        <w:rPr>
          <w:b/>
          <w:bCs/>
          <w:lang w:val="en-US"/>
        </w:rPr>
      </w:pPr>
      <w:r w:rsidRPr="00BF4D81">
        <w:rPr>
          <w:b/>
          <w:bCs/>
          <w:lang w:val="en-US"/>
        </w:rPr>
        <w:t>ARTICLE 6 – COMMUNICATION</w:t>
      </w:r>
    </w:p>
    <w:p w14:paraId="68D4A15A" w14:textId="77777777" w:rsidR="00BF4D81" w:rsidRPr="00BF4D81" w:rsidRDefault="00BF4D81" w:rsidP="00BF4D81">
      <w:pPr>
        <w:rPr>
          <w:lang w:val="en-US"/>
        </w:rPr>
      </w:pPr>
      <w:r w:rsidRPr="00BF4D81">
        <w:rPr>
          <w:lang w:val="en-US"/>
        </w:rPr>
        <w:t>The Ministry and the FFB undertake to keep one another informed of the actions implemented under this agreement.</w:t>
      </w:r>
    </w:p>
    <w:p w14:paraId="403EE84A" w14:textId="77777777" w:rsidR="00BF4D81" w:rsidRPr="00BF4D81" w:rsidRDefault="00BF4D81" w:rsidP="00BF4D81">
      <w:pPr>
        <w:rPr>
          <w:lang w:val="en-US"/>
        </w:rPr>
      </w:pPr>
      <w:r w:rsidRPr="00BF4D81">
        <w:rPr>
          <w:lang w:val="en-US"/>
        </w:rPr>
        <w:t>The logos of the signatory partners shall appear on all documents and materials produced within the framework of this partnership.</w:t>
      </w:r>
    </w:p>
    <w:p w14:paraId="1F23699C" w14:textId="77777777" w:rsidR="00BF4D81" w:rsidRDefault="00BF4D81" w:rsidP="00BF4D81"/>
    <w:p w14:paraId="7BBC5C27" w14:textId="66888A02" w:rsidR="00BF4D81" w:rsidRPr="00BF4D81" w:rsidRDefault="00BF4D81" w:rsidP="00BF4D81">
      <w:pPr>
        <w:rPr>
          <w:b/>
          <w:bCs/>
          <w:lang w:val="en-US"/>
        </w:rPr>
      </w:pPr>
      <w:r w:rsidRPr="00BF4D81">
        <w:rPr>
          <w:b/>
          <w:bCs/>
          <w:lang w:val="en-US"/>
        </w:rPr>
        <w:t>ARTICLE 7 – DURATION AND TERMINATION</w:t>
      </w:r>
    </w:p>
    <w:p w14:paraId="04282D72" w14:textId="77777777" w:rsidR="00BF4D81" w:rsidRPr="00BF4D81" w:rsidRDefault="00BF4D81" w:rsidP="00BF4D81">
      <w:pPr>
        <w:rPr>
          <w:lang w:val="en-US"/>
        </w:rPr>
      </w:pPr>
      <w:r w:rsidRPr="00BF4D81">
        <w:rPr>
          <w:lang w:val="en-US"/>
        </w:rPr>
        <w:t>This agreement is concluded for a period of three years and shall take effect from the date of signature.</w:t>
      </w:r>
    </w:p>
    <w:p w14:paraId="146429D6" w14:textId="77777777" w:rsidR="00BF4D81" w:rsidRPr="00BF4D81" w:rsidRDefault="00BF4D81" w:rsidP="00BF4D81">
      <w:pPr>
        <w:rPr>
          <w:lang w:val="en-US"/>
        </w:rPr>
      </w:pPr>
      <w:r w:rsidRPr="00BF4D81">
        <w:rPr>
          <w:lang w:val="en-US"/>
        </w:rPr>
        <w:t xml:space="preserve">During the term of the agreement, any modification to the conditions or arrangements for implementation agreed between the Parties shall be </w:t>
      </w:r>
      <w:proofErr w:type="spellStart"/>
      <w:r w:rsidRPr="00BF4D81">
        <w:rPr>
          <w:lang w:val="en-US"/>
        </w:rPr>
        <w:t>formalised</w:t>
      </w:r>
      <w:proofErr w:type="spellEnd"/>
      <w:r w:rsidRPr="00BF4D81">
        <w:rPr>
          <w:lang w:val="en-US"/>
        </w:rPr>
        <w:t xml:space="preserve"> by means of an amendment.</w:t>
      </w:r>
    </w:p>
    <w:p w14:paraId="61A5ABCA" w14:textId="77777777" w:rsidR="00BF4D81" w:rsidRPr="00BF4D81" w:rsidRDefault="00BF4D81" w:rsidP="00BF4D81">
      <w:pPr>
        <w:rPr>
          <w:lang w:val="en-US"/>
        </w:rPr>
      </w:pPr>
      <w:r w:rsidRPr="00BF4D81">
        <w:rPr>
          <w:lang w:val="en-US"/>
        </w:rPr>
        <w:t>This agreement may be terminated by either Party following consultation with the monitoring committee and subject to a notice period of three months after the sending of a registered letter with acknowledgement of receipt.</w:t>
      </w:r>
    </w:p>
    <w:p w14:paraId="2BBC554D" w14:textId="77777777" w:rsidR="00BF4D81" w:rsidRPr="00BF4D81" w:rsidRDefault="00BF4D81" w:rsidP="00BF4D81">
      <w:pPr>
        <w:rPr>
          <w:lang w:val="en-US"/>
        </w:rPr>
      </w:pPr>
      <w:r w:rsidRPr="00BF4D81">
        <w:rPr>
          <w:lang w:val="en-US"/>
        </w:rPr>
        <w:t>Six months before the expiry of the agreement, the Parties shall meet to consider the conditions for its renewal.</w:t>
      </w:r>
    </w:p>
    <w:p w14:paraId="4596FD81" w14:textId="77777777" w:rsidR="00BF4D81" w:rsidRPr="00BF4D81" w:rsidRDefault="00BF4D81" w:rsidP="00BF4D81"/>
    <w:p w14:paraId="5CCFE2F3" w14:textId="2C975B51" w:rsidR="00BF4D81" w:rsidRPr="00BF4D81" w:rsidRDefault="00BF4D81" w:rsidP="00BF4D81">
      <w:pPr>
        <w:rPr>
          <w:lang w:val="en-US"/>
        </w:rPr>
      </w:pPr>
      <w:r w:rsidRPr="00BF4D81">
        <w:rPr>
          <w:lang w:val="en-US"/>
        </w:rPr>
        <w:lastRenderedPageBreak/>
        <w:t>Done in Paris, in two original copies, on 15 March 2022.</w:t>
      </w:r>
    </w:p>
    <w:p w14:paraId="473207C1" w14:textId="1A76DC3C" w:rsidR="00BF4D81" w:rsidRPr="00BF4D81" w:rsidRDefault="00BF4D81" w:rsidP="00BF4D81">
      <w:pPr>
        <w:rPr>
          <w:lang w:val="en-US"/>
        </w:rPr>
      </w:pPr>
    </w:p>
    <w:p w14:paraId="08A1C5ED" w14:textId="77777777" w:rsidR="00243613" w:rsidRPr="00BF4D81" w:rsidRDefault="00243613">
      <w:pPr>
        <w:rPr>
          <w:lang w:val="en-US"/>
        </w:rPr>
      </w:pPr>
    </w:p>
    <w:sectPr w:rsidR="00243613" w:rsidRPr="00BF4D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rianne">
    <w:panose1 w:val="02000000000000000000"/>
    <w:charset w:val="00"/>
    <w:family w:val="modern"/>
    <w:notTrueType/>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auto"/>
    <w:pitch w:val="variable"/>
    <w:sig w:usb0="800000EB" w:usb1="380160EA" w:usb2="144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201"/>
    <w:multiLevelType w:val="multilevel"/>
    <w:tmpl w:val="E9805D9E"/>
    <w:lvl w:ilvl="0">
      <w:start w:val="1"/>
      <w:numFmt w:val="bullet"/>
      <w:lvlText w:val="−"/>
      <w:lvlJc w:val="left"/>
      <w:pPr>
        <w:tabs>
          <w:tab w:val="num" w:pos="720"/>
        </w:tabs>
        <w:ind w:left="720" w:hanging="360"/>
      </w:pPr>
      <w:rPr>
        <w:rFonts w:ascii="Marianne" w:hAnsi="Marianne"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E2A3F"/>
    <w:multiLevelType w:val="multilevel"/>
    <w:tmpl w:val="F89E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E4CFA"/>
    <w:multiLevelType w:val="multilevel"/>
    <w:tmpl w:val="A7DA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12C02"/>
    <w:multiLevelType w:val="multilevel"/>
    <w:tmpl w:val="93D86746"/>
    <w:lvl w:ilvl="0">
      <w:start w:val="1"/>
      <w:numFmt w:val="bullet"/>
      <w:lvlText w:val="−"/>
      <w:lvlJc w:val="left"/>
      <w:pPr>
        <w:tabs>
          <w:tab w:val="num" w:pos="720"/>
        </w:tabs>
        <w:ind w:left="720" w:hanging="360"/>
      </w:pPr>
      <w:rPr>
        <w:rFonts w:ascii="Marianne" w:hAnsi="Marianne"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A001A"/>
    <w:multiLevelType w:val="multilevel"/>
    <w:tmpl w:val="A18630DE"/>
    <w:lvl w:ilvl="0">
      <w:start w:val="1"/>
      <w:numFmt w:val="bullet"/>
      <w:lvlText w:val="−"/>
      <w:lvlJc w:val="left"/>
      <w:pPr>
        <w:tabs>
          <w:tab w:val="num" w:pos="720"/>
        </w:tabs>
        <w:ind w:left="720" w:hanging="360"/>
      </w:pPr>
      <w:rPr>
        <w:rFonts w:ascii="Marianne" w:hAnsi="Marianne"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1156FC"/>
    <w:multiLevelType w:val="multilevel"/>
    <w:tmpl w:val="7B20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9D6A00"/>
    <w:multiLevelType w:val="multilevel"/>
    <w:tmpl w:val="449C68D0"/>
    <w:lvl w:ilvl="0">
      <w:start w:val="1"/>
      <w:numFmt w:val="bullet"/>
      <w:lvlText w:val="−"/>
      <w:lvlJc w:val="left"/>
      <w:pPr>
        <w:tabs>
          <w:tab w:val="num" w:pos="720"/>
        </w:tabs>
        <w:ind w:left="720" w:hanging="360"/>
      </w:pPr>
      <w:rPr>
        <w:rFonts w:ascii="Marianne" w:hAnsi="Marianne"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D5342"/>
    <w:multiLevelType w:val="multilevel"/>
    <w:tmpl w:val="9F3A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26C49"/>
    <w:multiLevelType w:val="multilevel"/>
    <w:tmpl w:val="0CC6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AC692E"/>
    <w:multiLevelType w:val="multilevel"/>
    <w:tmpl w:val="B8B0ED9A"/>
    <w:lvl w:ilvl="0">
      <w:start w:val="1"/>
      <w:numFmt w:val="bullet"/>
      <w:lvlText w:val="−"/>
      <w:lvlJc w:val="left"/>
      <w:pPr>
        <w:tabs>
          <w:tab w:val="num" w:pos="720"/>
        </w:tabs>
        <w:ind w:left="720" w:hanging="360"/>
      </w:pPr>
      <w:rPr>
        <w:rFonts w:ascii="Marianne" w:hAnsi="Marianne"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B91C22"/>
    <w:multiLevelType w:val="multilevel"/>
    <w:tmpl w:val="EA067B9A"/>
    <w:lvl w:ilvl="0">
      <w:start w:val="1"/>
      <w:numFmt w:val="bullet"/>
      <w:lvlText w:val="−"/>
      <w:lvlJc w:val="left"/>
      <w:pPr>
        <w:tabs>
          <w:tab w:val="num" w:pos="720"/>
        </w:tabs>
        <w:ind w:left="720" w:hanging="360"/>
      </w:pPr>
      <w:rPr>
        <w:rFonts w:ascii="Marianne" w:hAnsi="Marianne"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1A386A"/>
    <w:multiLevelType w:val="multilevel"/>
    <w:tmpl w:val="462EE6F4"/>
    <w:lvl w:ilvl="0">
      <w:start w:val="1"/>
      <w:numFmt w:val="bullet"/>
      <w:lvlText w:val="−"/>
      <w:lvlJc w:val="left"/>
      <w:pPr>
        <w:tabs>
          <w:tab w:val="num" w:pos="720"/>
        </w:tabs>
        <w:ind w:left="720" w:hanging="360"/>
      </w:pPr>
      <w:rPr>
        <w:rFonts w:ascii="Marianne" w:hAnsi="Marianne"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BE1147"/>
    <w:multiLevelType w:val="multilevel"/>
    <w:tmpl w:val="0420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863E08"/>
    <w:multiLevelType w:val="multilevel"/>
    <w:tmpl w:val="6BC86142"/>
    <w:lvl w:ilvl="0">
      <w:start w:val="1"/>
      <w:numFmt w:val="bullet"/>
      <w:lvlText w:val="−"/>
      <w:lvlJc w:val="left"/>
      <w:pPr>
        <w:tabs>
          <w:tab w:val="num" w:pos="720"/>
        </w:tabs>
        <w:ind w:left="720" w:hanging="360"/>
      </w:pPr>
      <w:rPr>
        <w:rFonts w:ascii="Marianne" w:hAnsi="Marianne"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561974"/>
    <w:multiLevelType w:val="multilevel"/>
    <w:tmpl w:val="4A56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736C76"/>
    <w:multiLevelType w:val="multilevel"/>
    <w:tmpl w:val="67FE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8A22E2"/>
    <w:multiLevelType w:val="multilevel"/>
    <w:tmpl w:val="249823FE"/>
    <w:lvl w:ilvl="0">
      <w:start w:val="1"/>
      <w:numFmt w:val="bullet"/>
      <w:lvlText w:val="−"/>
      <w:lvlJc w:val="left"/>
      <w:pPr>
        <w:tabs>
          <w:tab w:val="num" w:pos="720"/>
        </w:tabs>
        <w:ind w:left="720" w:hanging="360"/>
      </w:pPr>
      <w:rPr>
        <w:rFonts w:ascii="Marianne" w:hAnsi="Marianne"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71DB9"/>
    <w:multiLevelType w:val="multilevel"/>
    <w:tmpl w:val="D6E4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596854">
    <w:abstractNumId w:val="2"/>
  </w:num>
  <w:num w:numId="2" w16cid:durableId="525098000">
    <w:abstractNumId w:val="7"/>
  </w:num>
  <w:num w:numId="3" w16cid:durableId="1008409752">
    <w:abstractNumId w:val="5"/>
  </w:num>
  <w:num w:numId="4" w16cid:durableId="1290286339">
    <w:abstractNumId w:val="8"/>
  </w:num>
  <w:num w:numId="5" w16cid:durableId="651298125">
    <w:abstractNumId w:val="14"/>
  </w:num>
  <w:num w:numId="6" w16cid:durableId="1800105730">
    <w:abstractNumId w:val="1"/>
  </w:num>
  <w:num w:numId="7" w16cid:durableId="1366976944">
    <w:abstractNumId w:val="15"/>
  </w:num>
  <w:num w:numId="8" w16cid:durableId="1787188661">
    <w:abstractNumId w:val="17"/>
  </w:num>
  <w:num w:numId="9" w16cid:durableId="560292591">
    <w:abstractNumId w:val="12"/>
  </w:num>
  <w:num w:numId="10" w16cid:durableId="1758206003">
    <w:abstractNumId w:val="11"/>
  </w:num>
  <w:num w:numId="11" w16cid:durableId="1613971033">
    <w:abstractNumId w:val="6"/>
  </w:num>
  <w:num w:numId="12" w16cid:durableId="1410811687">
    <w:abstractNumId w:val="9"/>
  </w:num>
  <w:num w:numId="13" w16cid:durableId="2120684708">
    <w:abstractNumId w:val="16"/>
  </w:num>
  <w:num w:numId="14" w16cid:durableId="326133358">
    <w:abstractNumId w:val="4"/>
  </w:num>
  <w:num w:numId="15" w16cid:durableId="1784881333">
    <w:abstractNumId w:val="10"/>
  </w:num>
  <w:num w:numId="16" w16cid:durableId="2092005044">
    <w:abstractNumId w:val="13"/>
  </w:num>
  <w:num w:numId="17" w16cid:durableId="1490319474">
    <w:abstractNumId w:val="0"/>
  </w:num>
  <w:num w:numId="18" w16cid:durableId="1936590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81"/>
    <w:rsid w:val="00105319"/>
    <w:rsid w:val="00207C41"/>
    <w:rsid w:val="00243613"/>
    <w:rsid w:val="0055134B"/>
    <w:rsid w:val="008A345C"/>
    <w:rsid w:val="00904E18"/>
    <w:rsid w:val="0090783D"/>
    <w:rsid w:val="009D5A38"/>
    <w:rsid w:val="00BF4D81"/>
    <w:rsid w:val="00F118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60835"/>
  <w15:chartTrackingRefBased/>
  <w15:docId w15:val="{CD6F6963-A95B-43C9-876F-61F6B3CF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rianne" w:eastAsiaTheme="minorHAnsi" w:hAnsi="Marianne"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F4D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F4D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F4D8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F4D8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BF4D81"/>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BF4D8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BF4D81"/>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BF4D81"/>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BF4D81"/>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4D8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F4D8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F4D81"/>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BF4D81"/>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BF4D81"/>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BF4D81"/>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BF4D81"/>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BF4D81"/>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BF4D81"/>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BF4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4D8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F4D8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F4D81"/>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BF4D81"/>
    <w:pPr>
      <w:spacing w:before="160"/>
      <w:jc w:val="center"/>
    </w:pPr>
    <w:rPr>
      <w:i/>
      <w:iCs/>
      <w:color w:val="404040" w:themeColor="text1" w:themeTint="BF"/>
    </w:rPr>
  </w:style>
  <w:style w:type="character" w:customStyle="1" w:styleId="CitationCar">
    <w:name w:val="Citation Car"/>
    <w:basedOn w:val="Policepardfaut"/>
    <w:link w:val="Citation"/>
    <w:uiPriority w:val="29"/>
    <w:rsid w:val="00BF4D81"/>
    <w:rPr>
      <w:i/>
      <w:iCs/>
      <w:color w:val="404040" w:themeColor="text1" w:themeTint="BF"/>
    </w:rPr>
  </w:style>
  <w:style w:type="paragraph" w:styleId="Paragraphedeliste">
    <w:name w:val="List Paragraph"/>
    <w:basedOn w:val="Normal"/>
    <w:uiPriority w:val="34"/>
    <w:qFormat/>
    <w:rsid w:val="00BF4D81"/>
    <w:pPr>
      <w:ind w:left="720"/>
      <w:contextualSpacing/>
    </w:pPr>
  </w:style>
  <w:style w:type="character" w:styleId="Accentuationintense">
    <w:name w:val="Intense Emphasis"/>
    <w:basedOn w:val="Policepardfaut"/>
    <w:uiPriority w:val="21"/>
    <w:qFormat/>
    <w:rsid w:val="00BF4D81"/>
    <w:rPr>
      <w:i/>
      <w:iCs/>
      <w:color w:val="0F4761" w:themeColor="accent1" w:themeShade="BF"/>
    </w:rPr>
  </w:style>
  <w:style w:type="paragraph" w:styleId="Citationintense">
    <w:name w:val="Intense Quote"/>
    <w:basedOn w:val="Normal"/>
    <w:next w:val="Normal"/>
    <w:link w:val="CitationintenseCar"/>
    <w:uiPriority w:val="30"/>
    <w:qFormat/>
    <w:rsid w:val="00BF4D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F4D81"/>
    <w:rPr>
      <w:i/>
      <w:iCs/>
      <w:color w:val="0F4761" w:themeColor="accent1" w:themeShade="BF"/>
    </w:rPr>
  </w:style>
  <w:style w:type="character" w:styleId="Rfrenceintense">
    <w:name w:val="Intense Reference"/>
    <w:basedOn w:val="Policepardfaut"/>
    <w:uiPriority w:val="32"/>
    <w:qFormat/>
    <w:rsid w:val="00BF4D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2042</Words>
  <Characters>11990</Characters>
  <Application>Microsoft Office Word</Application>
  <DocSecurity>0</DocSecurity>
  <Lines>249</Lines>
  <Paragraphs>127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DESMOULINS</dc:creator>
  <cp:keywords/>
  <dc:description/>
  <cp:lastModifiedBy>Jean-Pierre DESMOULINS</cp:lastModifiedBy>
  <cp:revision>1</cp:revision>
  <dcterms:created xsi:type="dcterms:W3CDTF">2026-06-01T09:46:00Z</dcterms:created>
  <dcterms:modified xsi:type="dcterms:W3CDTF">2026-06-01T10:02:00Z</dcterms:modified>
</cp:coreProperties>
</file>